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56" w:type="dxa"/>
        <w:jc w:val="center"/>
        <w:tblLayout w:type="fixed"/>
        <w:tblCellMar>
          <w:top w:w="0" w:type="dxa"/>
          <w:left w:w="0" w:type="dxa"/>
          <w:bottom w:w="0" w:type="dxa"/>
          <w:right w:w="0" w:type="dxa"/>
        </w:tblCellMar>
      </w:tblPr>
      <w:tblGrid>
        <w:gridCol w:w="1078"/>
        <w:gridCol w:w="1663"/>
        <w:gridCol w:w="1886"/>
        <w:gridCol w:w="5829"/>
      </w:tblGrid>
      <w:tr>
        <w:tblPrEx>
          <w:tblCellMar>
            <w:top w:w="0" w:type="dxa"/>
            <w:left w:w="0" w:type="dxa"/>
            <w:bottom w:w="0" w:type="dxa"/>
            <w:right w:w="0" w:type="dxa"/>
          </w:tblCellMar>
        </w:tblPrEx>
        <w:trPr>
          <w:trHeight w:val="375" w:hRule="atLeast"/>
          <w:jc w:val="center"/>
        </w:trPr>
        <w:tc>
          <w:tcPr>
            <w:tcW w:w="1045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67" w:firstLineChars="95"/>
              <w:rPr>
                <w:rFonts w:hint="eastAsia" w:ascii="仿宋" w:hAnsi="仿宋" w:eastAsia="仿宋" w:cs="仿宋"/>
                <w:color w:val="353535"/>
                <w:sz w:val="28"/>
                <w:szCs w:val="28"/>
              </w:rPr>
            </w:pPr>
            <w:bookmarkStart w:id="0" w:name="_GoBack"/>
            <w:r>
              <w:rPr>
                <w:rFonts w:hint="eastAsia" w:ascii="仿宋" w:hAnsi="仿宋" w:eastAsia="仿宋" w:cs="仿宋"/>
                <w:b/>
                <w:color w:val="000000"/>
                <w:kern w:val="0"/>
                <w:sz w:val="28"/>
                <w:szCs w:val="28"/>
                <w:lang w:bidi="ar"/>
              </w:rPr>
              <w:t>附件2 福州英华职业学院专任教师年度考核教科研与服务项目量化评分标准说明</w:t>
            </w:r>
            <w:bookmarkEnd w:id="0"/>
          </w:p>
        </w:tc>
      </w:tr>
      <w:tr>
        <w:tblPrEx>
          <w:tblCellMar>
            <w:top w:w="0" w:type="dxa"/>
            <w:left w:w="0" w:type="dxa"/>
            <w:bottom w:w="0" w:type="dxa"/>
            <w:right w:w="0" w:type="dxa"/>
          </w:tblCellMar>
        </w:tblPrEx>
        <w:trPr>
          <w:trHeight w:val="495" w:hRule="atLeast"/>
          <w:jc w:val="center"/>
        </w:trPr>
        <w:tc>
          <w:tcPr>
            <w:tcW w:w="10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类别</w:t>
            </w:r>
          </w:p>
        </w:tc>
        <w:tc>
          <w:tcPr>
            <w:tcW w:w="354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项目</w:t>
            </w:r>
          </w:p>
        </w:tc>
        <w:tc>
          <w:tcPr>
            <w:tcW w:w="58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评价标准</w:t>
            </w:r>
          </w:p>
        </w:tc>
      </w:tr>
      <w:tr>
        <w:tblPrEx>
          <w:tblCellMar>
            <w:top w:w="0" w:type="dxa"/>
            <w:left w:w="0" w:type="dxa"/>
            <w:bottom w:w="0" w:type="dxa"/>
            <w:right w:w="0" w:type="dxa"/>
          </w:tblCellMar>
        </w:tblPrEx>
        <w:trPr>
          <w:trHeight w:val="999" w:hRule="atLeast"/>
          <w:jc w:val="center"/>
        </w:trPr>
        <w:tc>
          <w:tcPr>
            <w:tcW w:w="10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hint="eastAsia" w:ascii="仿宋" w:hAnsi="仿宋" w:eastAsia="仿宋" w:cs="仿宋"/>
                <w:color w:val="000000"/>
                <w:sz w:val="22"/>
                <w:szCs w:val="22"/>
              </w:rPr>
            </w:pPr>
            <w:r>
              <w:rPr>
                <w:rFonts w:hint="eastAsia" w:ascii="仿宋" w:hAnsi="仿宋" w:eastAsia="仿宋" w:cs="仿宋"/>
                <w:b/>
                <w:color w:val="000000"/>
                <w:kern w:val="0"/>
                <w:sz w:val="22"/>
                <w:szCs w:val="22"/>
                <w:lang w:bidi="ar"/>
              </w:rPr>
              <w:t>教科研定额分（基本项考核分为实际完成的定额*转换系数β，以35分为上限）</w:t>
            </w:r>
          </w:p>
        </w:tc>
        <w:tc>
          <w:tcPr>
            <w:tcW w:w="16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科技项目</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项目类别K1</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纵向：自然基础类为3；自然应用类为1.5；社科基础类为3；社科应用类为1.5。</w:t>
            </w:r>
          </w:p>
        </w:tc>
      </w:tr>
      <w:tr>
        <w:tblPrEx>
          <w:tblCellMar>
            <w:top w:w="0" w:type="dxa"/>
            <w:left w:w="0" w:type="dxa"/>
            <w:bottom w:w="0" w:type="dxa"/>
            <w:right w:w="0" w:type="dxa"/>
          </w:tblCellMar>
        </w:tblPrEx>
        <w:trPr>
          <w:trHeight w:val="702"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横向：为1。</w:t>
            </w:r>
          </w:p>
        </w:tc>
      </w:tr>
      <w:tr>
        <w:tblPrEx>
          <w:tblCellMar>
            <w:top w:w="0" w:type="dxa"/>
            <w:left w:w="0" w:type="dxa"/>
            <w:bottom w:w="0" w:type="dxa"/>
            <w:right w:w="0" w:type="dxa"/>
          </w:tblCellMar>
        </w:tblPrEx>
        <w:trPr>
          <w:trHeight w:val="1718"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项目类别K2</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纵向：</w:t>
            </w:r>
          </w:p>
          <w:p>
            <w:pPr>
              <w:widowControl/>
              <w:numPr>
                <w:ilvl w:val="0"/>
                <w:numId w:val="1"/>
              </w:numPr>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国家级：重大为10；重点为8；普通为7；</w:t>
            </w:r>
          </w:p>
          <w:p>
            <w:pPr>
              <w:widowControl/>
              <w:numPr>
                <w:ilvl w:val="0"/>
                <w:numId w:val="1"/>
              </w:numPr>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省部级：重大为6； 重点为5；普通为4；</w:t>
            </w:r>
          </w:p>
          <w:p>
            <w:pPr>
              <w:widowControl/>
              <w:numPr>
                <w:ilvl w:val="0"/>
                <w:numId w:val="1"/>
              </w:numPr>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市厅级：重大为3； 重点为2；普通为1。</w:t>
            </w:r>
          </w:p>
        </w:tc>
      </w:tr>
      <w:tr>
        <w:tblPrEx>
          <w:tblCellMar>
            <w:top w:w="0" w:type="dxa"/>
            <w:left w:w="0" w:type="dxa"/>
            <w:bottom w:w="0" w:type="dxa"/>
            <w:right w:w="0" w:type="dxa"/>
          </w:tblCellMar>
        </w:tblPrEx>
        <w:trPr>
          <w:trHeight w:val="304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横向：</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1.工科：q≥50万元为7；50万元&gt;q≥20万元为6；20万元&gt;q≥10万元为5；10万元&gt;q≥5万元为3；5万元&gt;q≥1万元为2；</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2.文科：q≥20万元为7；20万元&gt;q≥10万元为6；</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10万元&gt;q≥5万元为5；5万元&gt;q≥1万元为2；</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3.知识产权转化：q≥30万元为7；30万元&gt;q≥10万元为6；10万元&gt;q≥5万元为5；5万元&gt;q≥1万元为2。</w:t>
            </w:r>
          </w:p>
        </w:tc>
      </w:tr>
      <w:tr>
        <w:tblPrEx>
          <w:tblCellMar>
            <w:top w:w="0" w:type="dxa"/>
            <w:left w:w="0" w:type="dxa"/>
            <w:bottom w:w="0" w:type="dxa"/>
            <w:right w:w="0" w:type="dxa"/>
          </w:tblCellMar>
        </w:tblPrEx>
        <w:trPr>
          <w:trHeight w:val="641"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7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标准工作量分值：K1*K2*q分</w:t>
            </w:r>
          </w:p>
        </w:tc>
      </w:tr>
      <w:tr>
        <w:tblPrEx>
          <w:tblCellMar>
            <w:top w:w="0" w:type="dxa"/>
            <w:left w:w="0" w:type="dxa"/>
            <w:bottom w:w="0" w:type="dxa"/>
            <w:right w:w="0" w:type="dxa"/>
          </w:tblCellMar>
        </w:tblPrEx>
        <w:trPr>
          <w:trHeight w:val="315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论著</w:t>
            </w:r>
          </w:p>
        </w:tc>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论文</w:t>
            </w:r>
          </w:p>
        </w:tc>
        <w:tc>
          <w:tcPr>
            <w:tcW w:w="5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1.Nature、Science、Cell为1000分；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2.SCIE一区为100分；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3.SCIE二区为75分；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4.SCIE三区、SSCI为50分；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5.SCIE四区、EI为40分；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6.核心期刊为8分；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7.本科学报为5分；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8.其他CN期刊为2分；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9.学术会议汇编收录1分。</w:t>
            </w:r>
          </w:p>
        </w:tc>
      </w:tr>
      <w:tr>
        <w:tblPrEx>
          <w:tblCellMar>
            <w:top w:w="0" w:type="dxa"/>
            <w:left w:w="0" w:type="dxa"/>
            <w:bottom w:w="0" w:type="dxa"/>
            <w:right w:w="0" w:type="dxa"/>
          </w:tblCellMar>
        </w:tblPrEx>
        <w:trPr>
          <w:trHeight w:val="625"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学术专著</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7.5分*著作字数/万字。</w:t>
            </w:r>
          </w:p>
        </w:tc>
      </w:tr>
      <w:tr>
        <w:tblPrEx>
          <w:tblCellMar>
            <w:top w:w="0" w:type="dxa"/>
            <w:left w:w="0" w:type="dxa"/>
            <w:bottom w:w="0" w:type="dxa"/>
            <w:right w:w="0" w:type="dxa"/>
          </w:tblCellMar>
        </w:tblPrEx>
        <w:trPr>
          <w:trHeight w:val="720" w:hRule="atLeast"/>
          <w:jc w:val="center"/>
        </w:trPr>
        <w:tc>
          <w:tcPr>
            <w:tcW w:w="10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学术译著</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2分*著作字数/万字。</w:t>
            </w:r>
          </w:p>
        </w:tc>
      </w:tr>
      <w:tr>
        <w:tblPrEx>
          <w:tblCellMar>
            <w:top w:w="0" w:type="dxa"/>
            <w:left w:w="0" w:type="dxa"/>
            <w:bottom w:w="0" w:type="dxa"/>
            <w:right w:w="0" w:type="dxa"/>
          </w:tblCellMar>
        </w:tblPrEx>
        <w:trPr>
          <w:trHeight w:val="2202" w:hRule="atLeast"/>
          <w:jc w:val="center"/>
        </w:trPr>
        <w:tc>
          <w:tcPr>
            <w:tcW w:w="10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210" w:firstLineChars="95"/>
              <w:jc w:val="center"/>
              <w:rPr>
                <w:rFonts w:hint="eastAsia" w:ascii="仿宋" w:hAnsi="仿宋" w:eastAsia="仿宋" w:cs="仿宋"/>
                <w:color w:val="000000"/>
                <w:sz w:val="22"/>
                <w:szCs w:val="22"/>
              </w:rPr>
            </w:pPr>
            <w:r>
              <w:rPr>
                <w:rFonts w:hint="eastAsia" w:ascii="仿宋" w:hAnsi="仿宋" w:eastAsia="仿宋" w:cs="仿宋"/>
                <w:b/>
                <w:color w:val="000000"/>
                <w:kern w:val="0"/>
                <w:sz w:val="22"/>
                <w:szCs w:val="22"/>
                <w:lang w:bidi="ar"/>
              </w:rPr>
              <w:t>教科研定额分（基本项考核分为实际完成的定额*转换系数β，以35分为上限）</w:t>
            </w: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成果获奖</w:t>
            </w:r>
          </w:p>
          <w:p>
            <w:pPr>
              <w:widowControl/>
              <w:ind w:firstLine="228" w:firstLineChars="95"/>
              <w:jc w:val="center"/>
              <w:textAlignment w:val="center"/>
              <w:rPr>
                <w:rFonts w:hint="eastAsia"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1.国家级奖励：一等为10000分、二等为6000分、重大贡献为5000分；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2.省部级奖励：一等为4000分、二等为3000分、重大贡献为2000分；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3.市厅级奖励：一等为1000分、二等为500分、重大贡献为300分。</w:t>
            </w:r>
          </w:p>
        </w:tc>
      </w:tr>
      <w:tr>
        <w:tblPrEx>
          <w:tblCellMar>
            <w:top w:w="0" w:type="dxa"/>
            <w:left w:w="0" w:type="dxa"/>
            <w:bottom w:w="0" w:type="dxa"/>
            <w:right w:w="0" w:type="dxa"/>
          </w:tblCellMar>
        </w:tblPrEx>
        <w:trPr>
          <w:trHeight w:val="639"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专利</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国外专利为100分；发明专利为50分；实用新型专利为10分；外观设计专利、软件登记、集成电路设计为5分。</w:t>
            </w:r>
          </w:p>
        </w:tc>
      </w:tr>
      <w:tr>
        <w:tblPrEx>
          <w:tblCellMar>
            <w:top w:w="0" w:type="dxa"/>
            <w:left w:w="0" w:type="dxa"/>
            <w:bottom w:w="0" w:type="dxa"/>
            <w:right w:w="0" w:type="dxa"/>
          </w:tblCellMar>
        </w:tblPrEx>
        <w:trPr>
          <w:trHeight w:val="684"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标准制订</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1.国家标准、行业标准为150分；</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2.地方标准、行业标准为50分。</w:t>
            </w:r>
          </w:p>
        </w:tc>
      </w:tr>
      <w:tr>
        <w:tblPrEx>
          <w:tblCellMar>
            <w:top w:w="0" w:type="dxa"/>
            <w:left w:w="0" w:type="dxa"/>
            <w:bottom w:w="0" w:type="dxa"/>
            <w:right w:w="0" w:type="dxa"/>
          </w:tblCellMar>
        </w:tblPrEx>
        <w:trPr>
          <w:trHeight w:val="97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建议采纳</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1.国家领导人采纳为75分；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2.省部级领导采纳为30分；</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3.市厅级领导采纳为15分。</w:t>
            </w:r>
          </w:p>
        </w:tc>
      </w:tr>
      <w:tr>
        <w:tblPrEx>
          <w:tblCellMar>
            <w:top w:w="0" w:type="dxa"/>
            <w:left w:w="0" w:type="dxa"/>
            <w:bottom w:w="0" w:type="dxa"/>
            <w:right w:w="0" w:type="dxa"/>
          </w:tblCellMar>
        </w:tblPrEx>
        <w:trPr>
          <w:trHeight w:val="1248"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作品参展、收藏</w:t>
            </w:r>
          </w:p>
          <w:p>
            <w:pPr>
              <w:widowControl/>
              <w:ind w:firstLine="228" w:firstLineChars="95"/>
              <w:jc w:val="center"/>
              <w:textAlignment w:val="center"/>
              <w:rPr>
                <w:rFonts w:hint="eastAsia"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1.国家级为50分；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2.省部级为30分；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3.市厅级为10分；</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4.院级为2分。</w:t>
            </w:r>
          </w:p>
        </w:tc>
      </w:tr>
      <w:tr>
        <w:tblPrEx>
          <w:tblCellMar>
            <w:top w:w="0" w:type="dxa"/>
            <w:left w:w="0" w:type="dxa"/>
            <w:bottom w:w="0" w:type="dxa"/>
            <w:right w:w="0" w:type="dxa"/>
          </w:tblCellMar>
        </w:tblPrEx>
        <w:trPr>
          <w:trHeight w:val="95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作品和艺术表演被媒体</w:t>
            </w:r>
          </w:p>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专题宣传</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1.央媒为40分；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2.省媒为20分；</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3.市媒为10分。</w:t>
            </w:r>
          </w:p>
        </w:tc>
      </w:tr>
      <w:tr>
        <w:tblPrEx>
          <w:tblCellMar>
            <w:top w:w="0" w:type="dxa"/>
            <w:left w:w="0" w:type="dxa"/>
            <w:bottom w:w="0" w:type="dxa"/>
            <w:right w:w="0" w:type="dxa"/>
          </w:tblCellMar>
        </w:tblPrEx>
        <w:trPr>
          <w:trHeight w:val="27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科技平台建设</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1.新增：国家级为1250分；省部级为500分；市厅级为100分；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2.已有：国家级为250分；省部级为100分；市厅级为20分。</w:t>
            </w:r>
          </w:p>
        </w:tc>
      </w:tr>
      <w:tr>
        <w:tblPrEx>
          <w:tblCellMar>
            <w:top w:w="0" w:type="dxa"/>
            <w:left w:w="0" w:type="dxa"/>
            <w:bottom w:w="0" w:type="dxa"/>
            <w:right w:w="0" w:type="dxa"/>
          </w:tblCellMar>
        </w:tblPrEx>
        <w:trPr>
          <w:trHeight w:val="540" w:hRule="atLeast"/>
          <w:jc w:val="center"/>
        </w:trPr>
        <w:tc>
          <w:tcPr>
            <w:tcW w:w="107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学术讲座/技术报告</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学术讲座/技术报告指前一年度开设的面向全院师生或本系师生的学术讲座/技术报告，院级为2分，系级为1分，每项不超过1次。</w:t>
            </w:r>
          </w:p>
        </w:tc>
      </w:tr>
      <w:tr>
        <w:tblPrEx>
          <w:tblCellMar>
            <w:top w:w="0" w:type="dxa"/>
            <w:left w:w="0" w:type="dxa"/>
            <w:bottom w:w="0" w:type="dxa"/>
            <w:right w:w="0" w:type="dxa"/>
          </w:tblCellMar>
        </w:tblPrEx>
        <w:trPr>
          <w:trHeight w:val="985"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b/>
                <w:color w:val="000000"/>
                <w:kern w:val="0"/>
                <w:sz w:val="22"/>
                <w:szCs w:val="22"/>
                <w:lang w:bidi="ar"/>
              </w:rPr>
              <w:t>教科研附加分（本项考核分不进行转换，为完成的对应分值，与基本分总和以50分为上限</w:t>
            </w:r>
            <w:r>
              <w:rPr>
                <w:rFonts w:hint="eastAsia" w:ascii="仿宋" w:hAnsi="仿宋" w:eastAsia="仿宋" w:cs="仿宋"/>
                <w:b/>
                <w:bCs/>
                <w:color w:val="000000"/>
                <w:kern w:val="0"/>
                <w:sz w:val="22"/>
                <w:szCs w:val="22"/>
                <w:lang w:bidi="ar"/>
              </w:rPr>
              <w:t>）</w:t>
            </w:r>
          </w:p>
        </w:tc>
        <w:tc>
          <w:tcPr>
            <w:tcW w:w="354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教改项目</w:t>
            </w:r>
          </w:p>
        </w:tc>
        <w:tc>
          <w:tcPr>
            <w:tcW w:w="582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1.国家级80分；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2.省级50分；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3.市级25分；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4.院级重点项目：40分，院级一般项目：20分。</w:t>
            </w:r>
          </w:p>
        </w:tc>
      </w:tr>
      <w:tr>
        <w:tblPrEx>
          <w:tblCellMar>
            <w:top w:w="0" w:type="dxa"/>
            <w:left w:w="0" w:type="dxa"/>
            <w:bottom w:w="0" w:type="dxa"/>
            <w:right w:w="0" w:type="dxa"/>
          </w:tblCellMar>
        </w:tblPrEx>
        <w:trPr>
          <w:trHeight w:val="1268"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354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教学质量工程</w:t>
            </w:r>
          </w:p>
        </w:tc>
        <w:tc>
          <w:tcPr>
            <w:tcW w:w="582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1.国家级100分；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2.省级80分；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3.市级40分；</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4.院级重点项目：60分，院级一般项目：30分。</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教材</w:t>
            </w: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国家级规划教材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主编为10分/万字；副主编为6分/万字；参编为4分/万字。</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省部级规划教材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主编为6分/万字；副主编为4分/万字；参编为3分/万字。</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统编教材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主编为5分/万字；副主编为3.5分/万字；参编为2.5分/万字。</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校本教材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主编为4分/万字；副主编为3分/万字；参编为2分/万字。</w:t>
            </w:r>
          </w:p>
        </w:tc>
      </w:tr>
      <w:tr>
        <w:tblPrEx>
          <w:tblCellMar>
            <w:top w:w="0" w:type="dxa"/>
            <w:left w:w="0" w:type="dxa"/>
            <w:bottom w:w="0" w:type="dxa"/>
            <w:right w:w="0" w:type="dxa"/>
          </w:tblCellMar>
        </w:tblPrEx>
        <w:trPr>
          <w:trHeight w:val="624"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ascii="仿宋" w:hAnsi="仿宋" w:eastAsia="仿宋" w:cs="仿宋"/>
                <w:color w:val="000000"/>
                <w:sz w:val="22"/>
                <w:szCs w:val="22"/>
              </w:rPr>
            </w:pPr>
            <w:r>
              <w:rPr>
                <w:rFonts w:hint="eastAsia" w:ascii="仿宋" w:hAnsi="仿宋" w:eastAsia="仿宋" w:cs="仿宋"/>
                <w:b/>
                <w:color w:val="000000"/>
                <w:kern w:val="0"/>
                <w:sz w:val="22"/>
                <w:szCs w:val="22"/>
                <w:lang w:bidi="ar"/>
              </w:rPr>
              <w:t>教科研附加分（本项考核分不进行转换，为完成的对应分值，与基本分总和以50分为上限</w:t>
            </w:r>
            <w:r>
              <w:rPr>
                <w:rFonts w:hint="eastAsia" w:ascii="仿宋" w:hAnsi="仿宋" w:eastAsia="仿宋" w:cs="仿宋"/>
                <w:b/>
                <w:bCs/>
                <w:color w:val="000000"/>
                <w:kern w:val="0"/>
                <w:sz w:val="22"/>
                <w:szCs w:val="22"/>
                <w:lang w:bidi="ar"/>
              </w:rPr>
              <w:t>）</w:t>
            </w: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教学成果奖</w:t>
            </w: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国家级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特等为1000分；一等为800分；二等为500分。</w:t>
            </w:r>
          </w:p>
        </w:tc>
      </w:tr>
      <w:tr>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省级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特等为300分；一等为200分；二等为100分。</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院级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特等为80分；一等为40分；二等为20分。</w:t>
            </w:r>
          </w:p>
        </w:tc>
      </w:tr>
      <w:tr>
        <w:tblPrEx>
          <w:tblCellMar>
            <w:top w:w="0" w:type="dxa"/>
            <w:left w:w="0" w:type="dxa"/>
            <w:bottom w:w="0" w:type="dxa"/>
            <w:right w:w="0" w:type="dxa"/>
          </w:tblCellMar>
        </w:tblPrEx>
        <w:trPr>
          <w:trHeight w:val="84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r>
              <w:rPr>
                <w:rFonts w:hint="eastAsia" w:ascii="仿宋" w:hAnsi="仿宋" w:eastAsia="仿宋" w:cs="仿宋"/>
                <w:color w:val="000000"/>
                <w:sz w:val="24"/>
              </w:rPr>
              <w:t>技术服务</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重点项目：60分，个人得分不超过20分，一般项目30分，个人得分不超过10分。</w:t>
            </w:r>
          </w:p>
        </w:tc>
      </w:tr>
      <w:tr>
        <w:tblPrEx>
          <w:tblCellMar>
            <w:top w:w="0" w:type="dxa"/>
            <w:left w:w="0" w:type="dxa"/>
            <w:bottom w:w="0" w:type="dxa"/>
            <w:right w:w="0" w:type="dxa"/>
          </w:tblCellMar>
        </w:tblPrEx>
        <w:trPr>
          <w:trHeight w:val="769"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hint="eastAsia" w:ascii="仿宋" w:hAnsi="仿宋" w:eastAsia="仿宋" w:cs="仿宋"/>
                <w:color w:val="000000"/>
                <w:sz w:val="24"/>
              </w:rPr>
            </w:pPr>
            <w:r>
              <w:rPr>
                <w:rFonts w:hint="eastAsia" w:ascii="仿宋" w:hAnsi="仿宋" w:eastAsia="仿宋" w:cs="仿宋"/>
                <w:color w:val="000000"/>
                <w:sz w:val="24"/>
              </w:rPr>
              <w:t>科技特派员</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省级：25分、市级15分、县级10分。</w:t>
            </w:r>
          </w:p>
        </w:tc>
      </w:tr>
      <w:tr>
        <w:tblPrEx>
          <w:tblCellMar>
            <w:top w:w="0" w:type="dxa"/>
            <w:left w:w="0" w:type="dxa"/>
            <w:bottom w:w="0" w:type="dxa"/>
            <w:right w:w="0" w:type="dxa"/>
          </w:tblCellMar>
        </w:tblPrEx>
        <w:trPr>
          <w:trHeight w:val="1870"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ascii="仿宋" w:hAnsi="仿宋" w:eastAsia="仿宋" w:cs="仿宋"/>
                <w:color w:val="000000"/>
                <w:sz w:val="22"/>
                <w:szCs w:val="22"/>
              </w:rPr>
            </w:pPr>
            <w:r>
              <w:rPr>
                <w:rFonts w:hint="eastAsia" w:ascii="仿宋" w:hAnsi="仿宋" w:eastAsia="仿宋" w:cs="仿宋"/>
                <w:b/>
                <w:color w:val="000000"/>
                <w:kern w:val="0"/>
                <w:sz w:val="22"/>
                <w:szCs w:val="22"/>
                <w:lang w:bidi="ar"/>
              </w:rPr>
              <w:t>服务项目分值（以50分为上限）</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兼任学院行政职务工作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经学院考核合格，兼任副处级管理干部（含系部主任助理）者加35分；兼任教研室主任、专业带头人、教工支部书记者加16分；兼任教研室副主任者加13分；兼任支部书记者加12分、支部副书记者加10分；担任学院学术委员会、工会委员会、专业建设委员会、工会小组长，且履行职责者按5分/人计算分数（同一人兼任不同职务者第二项及以上按照60%计算分数）。</w:t>
            </w:r>
          </w:p>
        </w:tc>
      </w:tr>
      <w:tr>
        <w:tblPrEx>
          <w:tblCellMar>
            <w:top w:w="0" w:type="dxa"/>
            <w:left w:w="0" w:type="dxa"/>
            <w:bottom w:w="0" w:type="dxa"/>
            <w:right w:w="0" w:type="dxa"/>
          </w:tblCellMar>
        </w:tblPrEx>
        <w:trPr>
          <w:trHeight w:val="97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青年教师培养工作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本学年担任青年教师导师，考核通过，按照6分/每个青年教师计算分数；考核不合格者，按照6分/每个青年教师进行扣分；本项分数上限为18分。</w:t>
            </w:r>
          </w:p>
        </w:tc>
      </w:tr>
      <w:tr>
        <w:tblPrEx>
          <w:tblCellMar>
            <w:top w:w="0" w:type="dxa"/>
            <w:left w:w="0" w:type="dxa"/>
            <w:bottom w:w="0" w:type="dxa"/>
            <w:right w:w="0" w:type="dxa"/>
          </w:tblCellMar>
        </w:tblPrEx>
        <w:trPr>
          <w:trHeight w:val="120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担任社团或协会指导教师</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担任校级或经学院审批同意的系级学生社团或协会指导教师，完成相应指导业务，提供活动策划、总结报告等按照6分/个计算分数；获得校级优秀指导教师另加1分，获得市级另加2分，获得省级另加3分；本项分数上限为10分。</w:t>
            </w:r>
          </w:p>
        </w:tc>
      </w:tr>
      <w:tr>
        <w:tblPrEx>
          <w:tblCellMar>
            <w:top w:w="0" w:type="dxa"/>
            <w:left w:w="0" w:type="dxa"/>
            <w:bottom w:w="0" w:type="dxa"/>
            <w:right w:w="0" w:type="dxa"/>
          </w:tblCellMar>
        </w:tblPrEx>
        <w:trPr>
          <w:trHeight w:val="79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担任班主任工作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本学年担任学生班主任工作，考核通过者按照6分/人计算分数；本项分数上限为6分。</w:t>
            </w:r>
          </w:p>
        </w:tc>
      </w:tr>
      <w:tr>
        <w:tblPrEx>
          <w:tblCellMar>
            <w:top w:w="0" w:type="dxa"/>
            <w:left w:w="0" w:type="dxa"/>
            <w:bottom w:w="0" w:type="dxa"/>
            <w:right w:w="0" w:type="dxa"/>
          </w:tblCellMar>
        </w:tblPrEx>
        <w:trPr>
          <w:trHeight w:val="94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担任服务志愿者工作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担任学院安排的招生宣传、访企拓岗、迎新、招聘会、校级运动会、教师节大会、职业技能周、校园文化节等各类综合性、专项性工作的志愿者，工作认真负责的按照0.5分/小时计算分数。</w:t>
            </w:r>
          </w:p>
        </w:tc>
      </w:tr>
      <w:tr>
        <w:tblPrEx>
          <w:tblCellMar>
            <w:top w:w="0" w:type="dxa"/>
            <w:left w:w="0" w:type="dxa"/>
            <w:bottom w:w="0" w:type="dxa"/>
            <w:right w:w="0" w:type="dxa"/>
          </w:tblCellMar>
        </w:tblPrEx>
        <w:trPr>
          <w:trHeight w:val="985"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承办院级综合性活动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本学年承办经学院审批同意的各类无报酬全院性综合活动，如校级运动会、教师节大会、职业技能周、校园文化节、职业技能比赛等，按照20分/项计算分数，分数权重由项目负责人统筹。</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承办系级综合性活动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本学年承办经学院审批同意的系级综合性活动（不含学工、团委组织的学生活动），按照10分/项计算分数，分数权重由项目负责人统筹。</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承办单项活动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本学年承办经学院审批同意的单项活动，如篮球比赛、十佳歌手比赛等，按照5分/项计算分数，分数权重由项目负责人统筹。</w:t>
            </w:r>
          </w:p>
          <w:p>
            <w:pPr>
              <w:widowControl/>
              <w:spacing w:line="260" w:lineRule="exact"/>
              <w:jc w:val="left"/>
              <w:textAlignment w:val="center"/>
              <w:rPr>
                <w:rFonts w:hint="eastAsia" w:ascii="仿宋" w:hAnsi="仿宋" w:eastAsia="仿宋" w:cs="仿宋"/>
                <w:color w:val="000000"/>
                <w:kern w:val="0"/>
                <w:sz w:val="24"/>
                <w:lang w:bidi="ar"/>
              </w:rPr>
            </w:pP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执行学院重点工作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执行学院文明校、文化建设等学院单项性重点工作，根据开展工作的成效按照60分/项计算分数；执行高水平学校申报等学院综合性重点工作，根据开展工作的成效按照200分/项计算分数；分数权重由项目负责人统筹。</w:t>
            </w:r>
          </w:p>
          <w:p>
            <w:pPr>
              <w:widowControl/>
              <w:spacing w:line="260" w:lineRule="exact"/>
              <w:jc w:val="left"/>
              <w:textAlignment w:val="center"/>
              <w:rPr>
                <w:rFonts w:hint="eastAsia" w:ascii="仿宋" w:hAnsi="仿宋" w:eastAsia="仿宋" w:cs="仿宋"/>
                <w:color w:val="000000"/>
                <w:kern w:val="0"/>
                <w:sz w:val="24"/>
                <w:lang w:bidi="ar"/>
              </w:rPr>
            </w:pP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学院建设性方案撰写</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撰写学院各类建设性方案，获得学院采用者，按照10分/项计算分数，参与者分数由项目负责人统筹。</w:t>
            </w:r>
          </w:p>
          <w:p>
            <w:pPr>
              <w:widowControl/>
              <w:spacing w:line="260" w:lineRule="exact"/>
              <w:jc w:val="left"/>
              <w:textAlignment w:val="center"/>
              <w:rPr>
                <w:rFonts w:hint="eastAsia" w:ascii="仿宋" w:hAnsi="仿宋" w:eastAsia="仿宋" w:cs="仿宋"/>
                <w:color w:val="000000"/>
                <w:kern w:val="0"/>
                <w:sz w:val="24"/>
                <w:lang w:bidi="ar"/>
              </w:rPr>
            </w:pPr>
          </w:p>
        </w:tc>
      </w:tr>
      <w:tr>
        <w:tblPrEx>
          <w:tblCellMar>
            <w:top w:w="0" w:type="dxa"/>
            <w:left w:w="0" w:type="dxa"/>
            <w:bottom w:w="0" w:type="dxa"/>
            <w:right w:w="0" w:type="dxa"/>
          </w:tblCellMar>
        </w:tblPrEx>
        <w:trPr>
          <w:trHeight w:val="624"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ascii="仿宋" w:hAnsi="仿宋" w:eastAsia="仿宋" w:cs="仿宋"/>
                <w:color w:val="000000"/>
                <w:sz w:val="22"/>
                <w:szCs w:val="22"/>
              </w:rPr>
            </w:pPr>
            <w:r>
              <w:rPr>
                <w:rFonts w:hint="eastAsia" w:ascii="仿宋" w:hAnsi="仿宋" w:eastAsia="仿宋" w:cs="仿宋"/>
                <w:b/>
                <w:color w:val="000000"/>
                <w:kern w:val="0"/>
                <w:sz w:val="22"/>
                <w:szCs w:val="22"/>
                <w:lang w:bidi="ar"/>
              </w:rPr>
              <w:t>服务项目分值（以50分为上限）</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专项工作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担任由学院统一安排的各类专项工作，工作认真负责，组织制定者按照5分/项计算分数。</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担任专项报表或数据填报工作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担任学院各类专项报表或数据填报工作，数据报送无误者按照3分/项计算分数。</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实验（训）室或专业教室负责教师</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担任实验（训）室或专业教室负责人，相关管理资料完整，无安全事故发生者，按照1间12分，2间20分计算分数。</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开展培训讲座</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本学年根据学院管理工作需要，经学院审批后，开展各类校内外培训讲座，按照3分/场计算分数。</w:t>
            </w:r>
          </w:p>
        </w:tc>
      </w:tr>
      <w:tr>
        <w:trPr>
          <w:trHeight w:val="84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担任学院两级教学督导工作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经学院聘任为教学督导，工作认真负责、履行职责者，按照院级督导15分/人、系级督导7分/人计算分数。</w:t>
            </w:r>
          </w:p>
        </w:tc>
      </w:tr>
      <w:tr>
        <w:tblPrEx>
          <w:tblCellMar>
            <w:top w:w="0" w:type="dxa"/>
            <w:left w:w="0" w:type="dxa"/>
            <w:bottom w:w="0" w:type="dxa"/>
            <w:right w:w="0" w:type="dxa"/>
          </w:tblCellMar>
        </w:tblPrEx>
        <w:trPr>
          <w:trHeight w:val="97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代表学院参加各类活动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由学院指派代表学院参加的汇演、职教周、校工会指派的各类活动等，具有提高学院声誉的，按照30分/项计算分数，每人单项目分数不高于10分，分数权重由项目负责人统筹。</w:t>
            </w:r>
          </w:p>
        </w:tc>
      </w:tr>
      <w:tr>
        <w:tblPrEx>
          <w:tblCellMar>
            <w:top w:w="0" w:type="dxa"/>
            <w:left w:w="0" w:type="dxa"/>
            <w:bottom w:w="0" w:type="dxa"/>
            <w:right w:w="0" w:type="dxa"/>
          </w:tblCellMar>
        </w:tblPrEx>
        <w:trPr>
          <w:trHeight w:val="123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参加学术会议、研讨会、培训等</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经学院审批同意参加校外学术交流会、研讨会、培训会等，提交会议通知、会议报到、培训证书等佐证材料者，时间在一周以内的按照2分/人计算分数，超过一周者按照每超过一周加2分计算，网络培训者按以上标准减半。</w:t>
            </w:r>
          </w:p>
        </w:tc>
      </w:tr>
      <w:tr>
        <w:tblPrEx>
          <w:tblCellMar>
            <w:top w:w="0" w:type="dxa"/>
            <w:left w:w="0" w:type="dxa"/>
            <w:bottom w:w="0" w:type="dxa"/>
            <w:right w:w="0" w:type="dxa"/>
          </w:tblCellMar>
        </w:tblPrEx>
        <w:trPr>
          <w:trHeight w:val="82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较长时间的替岗工作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因突发情况，接受学院、系部安排的较长时间的代替工作者，经学院审批同意，根据工作量情况按照15-30分/人计算分数。</w:t>
            </w:r>
          </w:p>
        </w:tc>
      </w:tr>
      <w:tr>
        <w:tblPrEx>
          <w:tblCellMar>
            <w:top w:w="0" w:type="dxa"/>
            <w:left w:w="0" w:type="dxa"/>
            <w:bottom w:w="0" w:type="dxa"/>
            <w:right w:w="0" w:type="dxa"/>
          </w:tblCellMar>
        </w:tblPrEx>
        <w:trPr>
          <w:trHeight w:val="925"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协助行政服务职务</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因职能部门、系部工作需要，可向全院教师进行招募协助行政职务岗位，经学院审批同意者，根据教师协助时数及具体服务工作与成效按照20-35分/人计算分数。</w:t>
            </w:r>
          </w:p>
        </w:tc>
      </w:tr>
      <w:tr>
        <w:tblPrEx>
          <w:tblCellMar>
            <w:top w:w="0" w:type="dxa"/>
            <w:left w:w="0" w:type="dxa"/>
            <w:bottom w:w="0" w:type="dxa"/>
            <w:right w:w="0" w:type="dxa"/>
          </w:tblCellMar>
        </w:tblPrEx>
        <w:trPr>
          <w:trHeight w:val="97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hint="eastAsia" w:ascii="仿宋" w:hAnsi="仿宋" w:eastAsia="仿宋" w:cs="仿宋"/>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提高学院声誉工作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为学院取得各项荣誉，被媒体宣传报道，提高学院声誉的各类工作，按照1分/人.次计算分数。</w:t>
            </w:r>
          </w:p>
        </w:tc>
      </w:tr>
    </w:tbl>
    <w:p>
      <w:pP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说明：</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科技项目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▲科技项目是指前一年度(即考核年度，下同)新立项目(院级项目除外)。</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▲自然基础类是指国家自然科学基金项目、省自然科学基金项目。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▲自然应用类是指纵向自然类项目除自然基础类外的其他项目。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▲社科基础类是指国家级科学、省科技厅级科学、国家社科基金、省社科规划、教育部、教育厅重点项目的纵向社科项目。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▲社科应用类是指纵向社科类项目除社科基础类外的其他项目。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▲q是指实际到校经费(单位:万元)。</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▲横向项目经费计算按个人年度累加。</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▲知识产权转化是指专利、软件版权、著作权等转化到校经费。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1）国家级项目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重大项目是指我院为申报(依托)单位主持的国家自然(社会)科学基金重大项目(含参照重大项目管理的专项)。国家科技重大专项、国家重大科学研究计划、国家科技支撑计划、国家重大高技术产业化发展项目，国家自然科学基金创新研究群体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重点项目是指我院为申报(依托)单位主持的国家自然(社会)科学基金重点项目(含参照重点项目管理的专项)，国家杰出青年科学基金项目，国家科技重大专项、国家重大科学研究计划、国家科技支撑计划、国家重大高技术产业化发展项目所属独立课题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普通项目是指我院为申报(依托)单位主持的国家自然(社会)科学基金面上项目和青年基金(含参照面上管理的专项)，国家科技重大专项、国家重大科学研究计划、国家科技支撑计划、国家重大高技术产业化发展项目的子课题，国家高技术产业化发展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2）省部级项目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▲省部级重大项目是指我院为申报(依托)单位主持的教育部等相关部委重大(培育)项目，省科技厅、省发改委等重大项目等;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▲省部级重点项目是指我院为申报(依托)单位主持的教育部等相   关部委重点项目，省杰出青年科学基金，省科技厅、发改委重点项目等;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▲省部级普通项目是指我院为申报(依托)单位主持的除上述各类型项目以外的其他各类纵向项目。</w:t>
      </w:r>
    </w:p>
    <w:p>
      <w:pPr>
        <w:widowControl/>
        <w:numPr>
          <w:ilvl w:val="0"/>
          <w:numId w:val="3"/>
        </w:numPr>
        <w:spacing w:line="340" w:lineRule="exact"/>
        <w:ind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市厅级项目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▲市厅级重大项目是指我院为申报(依托)单位主持的教育厅重大(培育)项目，市科技局、市发改委等重大项目等;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▲市厅级重点项目是指我院为申报(依托)单位主持的教育厅重点项目，省科技厅、发改委重点项目等;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▲市厅级普通项目是指我院为申报(依托)单位主持的除上述各类型项目以外的其他各类纵向项目。</w:t>
      </w:r>
    </w:p>
    <w:p>
      <w:pPr>
        <w:widowControl/>
        <w:spacing w:line="340" w:lineRule="exact"/>
        <w:ind w:firstLine="468" w:firstLineChars="1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我院不是项目申报单位但我院教师作为负责人的项目，可按我院为第一单位予以认定参照执行;各类项目若资助部门明确规定企业牵头申报、高校只能作为第一合作单位，且在批准通知或计划文件署名“福州英华职业学院”为第一合作单位，可按我院为第一单位予以认定参照执行。</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科技成果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▲著作指前一年度由出版部门正式出版的学术著作。</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▲著作字数是指由我院执笔撰写的字数。</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▲论文JCR分区以当年中国科技信息研究所提供的数据为准。</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▲核心期刊以《中国核心期刊要目总览》为准。</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▲CN 刊物是指在我国境内注册、国内公开发行的刊物。</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▲合作论文中我院教师和其他专业技术人员只能以福州英华职业学院为唯一作者单位。</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▲除特别说明外，论文计分只给第一作者或通讯作者。</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成果获奖</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▲成果获奖是指前一年度获得的国家、省部、市厅级科学奖励。国家、省部、市厅级奖:若我院为第二完成单位，其分值按相应奖项减半计算。若我院为第三完成单位按30%计分。其他位次均按10%计分。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▲国家级奖励是指国家自然科学奖、国家技术发明奖、国家科学技术进步奖等。</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省部级奖励是指由专门的管理机构按照既定的管理办法，定期组织、开放申报和严格评审，并以国家部委办局、省、自治区、直辖市名义下达的科技奖励。主要包括:(教育部)高等学校科学研究优秀成果奖、省社会科学优秀成果奖、省科技进步奖、全国教育科学研究优秀成果奖及国家有关部委的科技成果奖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奖励是指由专门的管理机构按照既定的管理办法，定期组织、开放申报和严格评审，并以省各厅、局、部、委等部门和设区市名义下达的科技奖励。主要包括:福建省高等教育社会科学研究优秀成果、福州市社会科学优秀成果奖、福州市科学技术奖等。</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专利</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▲授权专利是指前一年度授权的职务专利。</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▲软件登记是指前一年度向国家版权局登记的软件。</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▲集成电路设计是指前一年度向国家知识产权局登记的设计。</w:t>
      </w:r>
    </w:p>
    <w:p>
      <w:pPr>
        <w:widowControl/>
        <w:spacing w:line="3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▲知识产权(专利、软件登记、集成电路设计)有多个权属人(我院为其中之一)时，按权属人数平分科研工作量。</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标准</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▲标准是指由福州英华职业学院作为第一或参与制定单位获得的标准(包括技术规范、规程)。若我院为第二制定单位，其分值按相应类别减半计算。若我院为第三制定单位按 30%计分。其他位次均按10%计分。</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建议采纳</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优秀建议被采纳，需出具国家领导人的批示、省市级领导的批示或加盖国家部委或省市政府公章的证明。若我院为第二建议单位，其分值按相应项目减半计算。若我院为第三建议单位按30%计分。其他位次均按10%计分。</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科研项目/作品参展、收藏</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▲科研项目/作品参展是指前一年度参加国家、省部、市厅级展示的科研项目/作品。国家、省部、市厅级:若我院为第二完成单位，其分值按相应级别减半计算。若我院为第三完成单位按 30%计分。其他位次均按 10%计分。作品被学院收藏或作为学院礼品赠送外宾 2分。</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科研项目、作品和艺术表演被媒体专题报道宣传</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▲专题是指在15分钟以上或广告影视3条以上（以广播报、电视报的节目预报文字或广播电台、电视台的证明为准）。</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▲表演项目认定范围限于独唱、独奏、独舞、合唱指挥、戏剧表演的主角。</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科技平台建设</w:t>
      </w:r>
    </w:p>
    <w:p>
      <w:pPr>
        <w:widowControl/>
        <w:spacing w:line="340" w:lineRule="exact"/>
        <w:ind w:left="718" w:leftChars="342"/>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▲科技平台是指前一年度新批准立项建设的平台。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▲国家级是指国家发改委、科技部批准建立的平台。</w:t>
      </w:r>
    </w:p>
    <w:p>
      <w:pPr>
        <w:widowControl/>
        <w:spacing w:line="340" w:lineRule="exact"/>
        <w:ind w:firstLine="708" w:firstLineChars="2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▲省部级是指除发改委、科技部外部委、科技厅、省发改委等批准建立的平台。</w:t>
      </w:r>
    </w:p>
    <w:p>
      <w:pPr>
        <w:widowControl/>
        <w:spacing w:line="340" w:lineRule="exact"/>
        <w:ind w:firstLine="708" w:firstLineChars="2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▲市厅级是指除科技厅、发改委外厅级、科技局、市发改委批准建立的平台。</w:t>
      </w:r>
    </w:p>
    <w:p>
      <w:pPr>
        <w:widowControl/>
        <w:spacing w:line="340" w:lineRule="exact"/>
        <w:ind w:firstLine="708" w:firstLineChars="2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▲已有平台是指获批的市厅级及以上平台前一年通过相应级别主管部门评估或校内考核的平台。</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教材</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国家规划或省部级规划教材是指以国家或省部级名义下达的规划教材，其他由出版社正式出版的专科及以上教材为统编教材，校本教材是学院内部使用尚未正式出版的教材，以上教材应是学院审批立项的教材；再版书籍（包括修订版）按原标准的10％计分，重印不计分。</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w:t>
      </w:r>
      <w:r>
        <w:rPr>
          <w:rFonts w:hint="eastAsia" w:ascii="仿宋" w:hAnsi="仿宋" w:eastAsia="仿宋" w:cs="仿宋"/>
          <w:color w:val="000000"/>
          <w:sz w:val="24"/>
        </w:rPr>
        <w:t>技术服务</w:t>
      </w:r>
      <w:r>
        <w:rPr>
          <w:rFonts w:hint="eastAsia" w:ascii="仿宋" w:hAnsi="仿宋" w:eastAsia="仿宋" w:cs="仿宋"/>
          <w:color w:val="000000"/>
          <w:kern w:val="0"/>
          <w:sz w:val="24"/>
          <w:lang w:bidi="ar"/>
        </w:rPr>
        <w:t xml:space="preserve"> </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▲根据学院工作安排，教师利用专业技术优势开展乡村振兴、互联网营销师培训等社会服务。</w:t>
      </w:r>
    </w:p>
    <w:p>
      <w:pPr>
        <w:widowControl/>
        <w:numPr>
          <w:ilvl w:val="0"/>
          <w:numId w:val="2"/>
        </w:numPr>
        <w:spacing w:line="340" w:lineRule="exact"/>
        <w:ind w:left="0" w:firstLine="228" w:firstLineChars="95"/>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其它</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▲除特别说明外，教科研工作量计分范围均以我院为第一署名单位申请和取(获)得的科技项目、科技成果、平台建设和学术交流工作量计分。</w:t>
      </w:r>
    </w:p>
    <w:p>
      <w:pPr>
        <w:widowControl/>
        <w:spacing w:line="340" w:lineRule="exact"/>
        <w:ind w:left="199" w:leftChars="95"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▲跨年度项目可在确定立项时申请50%分值，验收通过后申请剩余50%分值，若验收不通过，将在考核年度扣回立项时申请分值。</w:t>
      </w:r>
    </w:p>
    <w:p>
      <w:pPr>
        <w:ind w:firstLine="720" w:firstLineChars="300"/>
        <w:rPr>
          <w:rFonts w:hint="eastAsia" w:ascii="仿宋" w:hAnsi="仿宋" w:eastAsia="仿宋" w:cs="仿宋"/>
          <w:color w:val="000000"/>
          <w:kern w:val="0"/>
          <w:sz w:val="30"/>
          <w:szCs w:val="30"/>
          <w:lang w:bidi="ar"/>
        </w:rPr>
      </w:pPr>
      <w:r>
        <w:rPr>
          <w:rFonts w:hint="eastAsia" w:ascii="仿宋" w:hAnsi="仿宋" w:eastAsia="仿宋" w:cs="仿宋"/>
          <w:color w:val="000000"/>
          <w:kern w:val="0"/>
          <w:sz w:val="24"/>
          <w:lang w:bidi="ar"/>
        </w:rPr>
        <w:t>▲涉及教科研工作量计分项目，专任教师应主动向教务处申请备案，凡未经教务处登记备案的项目不予确认。</w:t>
      </w:r>
      <w:r>
        <w:rPr>
          <w:rFonts w:hint="eastAsia" w:ascii="仿宋" w:hAnsi="仿宋" w:eastAsia="仿宋" w:cs="仿宋"/>
          <w:color w:val="000000"/>
          <w:kern w:val="0"/>
          <w:sz w:val="24"/>
          <w:lang w:bidi="ar"/>
        </w:rPr>
        <w:br w:type="textWrapping"/>
      </w:r>
    </w:p>
    <w:p>
      <w:pPr>
        <w:spacing w:line="100" w:lineRule="exact"/>
        <w:jc w:val="center"/>
        <w:rPr>
          <w:rFonts w:hint="eastAsia" w:ascii="仿宋" w:hAnsi="仿宋" w:eastAsia="仿宋" w:cs="仿宋"/>
        </w:rPr>
      </w:pPr>
    </w:p>
    <w:sectPr>
      <w:footerReference r:id="rId3" w:type="default"/>
      <w:pgSz w:w="11906" w:h="16838"/>
      <w:pgMar w:top="1440" w:right="1633" w:bottom="1440" w:left="163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5168265</wp:posOffset>
              </wp:positionH>
              <wp:positionV relativeFrom="paragraph">
                <wp:posOffset>0</wp:posOffset>
              </wp:positionV>
              <wp:extent cx="1828800" cy="1828800"/>
              <wp:effectExtent l="0" t="0" r="127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rPr>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95pt;margin-top:0pt;height:144pt;width:144pt;mso-position-horizontal-relative:margin;mso-wrap-style:none;z-index:251659264;mso-width-relative:page;mso-height-relative:page;" filled="f" stroked="f" coordsize="21600,21600" o:gfxdata="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uDaj1QAAAAkBAAAPAAAAAAAAAAEAIAAA&#10;ACIAAABkcnMvZG93bnJldi54bWxQSwECFAAUAAAACACHTuJA2fow1g8CAAAHBAAADgAAAAAAAAAB&#10;ACAAAAAkAQAAZHJzL2Uyb0RvYy54bWxQSwUGAAAAAAYABgBZAQAApQUAAAAA&#10;">
              <v:fill on="f" focussize="0,0"/>
              <v:stroke on="f" weight="0.5pt"/>
              <v:imagedata o:title=""/>
              <o:lock v:ext="edit" aspectratio="f"/>
              <v:textbox inset="0mm,0mm,0mm,0mm" style="mso-fit-shape-to-text:t;">
                <w:txbxContent>
                  <w:p>
                    <w:pPr>
                      <w:pStyle w:val="6"/>
                      <w:rPr>
                        <w:sz w:val="24"/>
                      </w:rPr>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5CD7E"/>
    <w:multiLevelType w:val="singleLevel"/>
    <w:tmpl w:val="8665CD7E"/>
    <w:lvl w:ilvl="0" w:tentative="0">
      <w:start w:val="1"/>
      <w:numFmt w:val="decimal"/>
      <w:suff w:val="nothing"/>
      <w:lvlText w:val="%1、"/>
      <w:lvlJc w:val="left"/>
    </w:lvl>
  </w:abstractNum>
  <w:abstractNum w:abstractNumId="1">
    <w:nsid w:val="DBF71726"/>
    <w:multiLevelType w:val="singleLevel"/>
    <w:tmpl w:val="DBF71726"/>
    <w:lvl w:ilvl="0" w:tentative="0">
      <w:start w:val="3"/>
      <w:numFmt w:val="decimal"/>
      <w:suff w:val="nothing"/>
      <w:lvlText w:val="%1）"/>
      <w:lvlJc w:val="left"/>
    </w:lvl>
  </w:abstractNum>
  <w:abstractNum w:abstractNumId="2">
    <w:nsid w:val="FE3AA38C"/>
    <w:multiLevelType w:val="singleLevel"/>
    <w:tmpl w:val="FE3AA38C"/>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jU2YzMwYTBkYjhjMzU5ZDkzN2Y4ODQzNzU0MzUifQ=="/>
    <w:docVar w:name="KSO_WPS_MARK_KEY" w:val="9f3c4e1b-a623-465f-bc8b-acd818fee2f1"/>
  </w:docVars>
  <w:rsids>
    <w:rsidRoot w:val="00E872F9"/>
    <w:rsid w:val="00293C34"/>
    <w:rsid w:val="003B27E4"/>
    <w:rsid w:val="00783957"/>
    <w:rsid w:val="00A546B9"/>
    <w:rsid w:val="00B70B6E"/>
    <w:rsid w:val="00B94FB9"/>
    <w:rsid w:val="00BE4500"/>
    <w:rsid w:val="00C9700A"/>
    <w:rsid w:val="00DB33B2"/>
    <w:rsid w:val="00E806AB"/>
    <w:rsid w:val="00E872F9"/>
    <w:rsid w:val="00F3675A"/>
    <w:rsid w:val="00FA2AE3"/>
    <w:rsid w:val="01A85E28"/>
    <w:rsid w:val="023935F7"/>
    <w:rsid w:val="02B7624C"/>
    <w:rsid w:val="03DF6894"/>
    <w:rsid w:val="08BA6E28"/>
    <w:rsid w:val="09EF4C97"/>
    <w:rsid w:val="10EB0857"/>
    <w:rsid w:val="13B67FFA"/>
    <w:rsid w:val="13D604FC"/>
    <w:rsid w:val="1827742D"/>
    <w:rsid w:val="19126A3D"/>
    <w:rsid w:val="1D1831EE"/>
    <w:rsid w:val="1F4D42B1"/>
    <w:rsid w:val="1FD053FB"/>
    <w:rsid w:val="2480698E"/>
    <w:rsid w:val="284B2E0F"/>
    <w:rsid w:val="29456BA0"/>
    <w:rsid w:val="2A7A3E7F"/>
    <w:rsid w:val="2AED43CE"/>
    <w:rsid w:val="30A25D51"/>
    <w:rsid w:val="362F3D70"/>
    <w:rsid w:val="385D1F1B"/>
    <w:rsid w:val="3D53070F"/>
    <w:rsid w:val="40131BCD"/>
    <w:rsid w:val="4330712C"/>
    <w:rsid w:val="43F565F9"/>
    <w:rsid w:val="48385242"/>
    <w:rsid w:val="50A13C77"/>
    <w:rsid w:val="527E1C17"/>
    <w:rsid w:val="563849EB"/>
    <w:rsid w:val="58165C3B"/>
    <w:rsid w:val="59D442CF"/>
    <w:rsid w:val="5AC8439B"/>
    <w:rsid w:val="5B921487"/>
    <w:rsid w:val="64B662D8"/>
    <w:rsid w:val="658517C5"/>
    <w:rsid w:val="68F531D8"/>
    <w:rsid w:val="6B1A6DDA"/>
    <w:rsid w:val="6B837CC9"/>
    <w:rsid w:val="703025E3"/>
    <w:rsid w:val="707E0F14"/>
    <w:rsid w:val="7311735D"/>
    <w:rsid w:val="73695978"/>
    <w:rsid w:val="7471323E"/>
    <w:rsid w:val="7538135D"/>
    <w:rsid w:val="793D4D17"/>
    <w:rsid w:val="7A83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style>
  <w:style w:type="paragraph" w:styleId="4">
    <w:name w:val="Date"/>
    <w:basedOn w:val="1"/>
    <w:next w:val="1"/>
    <w:link w:val="13"/>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w:basedOn w:val="3"/>
    <w:unhideWhenUsed/>
    <w:qFormat/>
    <w:uiPriority w:val="99"/>
    <w:pPr>
      <w:ind w:firstLine="420" w:firstLineChars="100"/>
    </w:pPr>
    <w:rPr>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日期 Char"/>
    <w:basedOn w:val="12"/>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2050</Words>
  <Characters>11686</Characters>
  <Lines>97</Lines>
  <Paragraphs>27</Paragraphs>
  <TotalTime>7</TotalTime>
  <ScaleCrop>false</ScaleCrop>
  <LinksUpToDate>false</LinksUpToDate>
  <CharactersWithSpaces>13709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2022-08-03T05:52:00Z</dcterms:created>
  <dc:creator>40417</dc:creator>
  <cp:lastModifiedBy>WPS_1641383399</cp:lastModifiedBy>
  <cp:lastPrinted>2023-07-06T08:50:00Z</cp:lastPrinted>
  <dcterms:modified xsi:type="dcterms:W3CDTF">2023-10-27T02:48:07Z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39F73460CEA54DF89BAB057E624EBC97</vt:lpwstr>
  </property>
</Properties>
</file>