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456" w:type="dxa"/>
        <w:jc w:val="center"/>
        <w:tblLayout w:type="fixed"/>
        <w:tblCellMar>
          <w:top w:w="0" w:type="dxa"/>
          <w:left w:w="0" w:type="dxa"/>
          <w:bottom w:w="0" w:type="dxa"/>
          <w:right w:w="0" w:type="dxa"/>
        </w:tblCellMar>
      </w:tblPr>
      <w:tblGrid>
        <w:gridCol w:w="1078"/>
        <w:gridCol w:w="1663"/>
        <w:gridCol w:w="1886"/>
        <w:gridCol w:w="5829"/>
      </w:tblGrid>
      <w:tr>
        <w:tblPrEx>
          <w:tblCellMar>
            <w:top w:w="0" w:type="dxa"/>
            <w:left w:w="0" w:type="dxa"/>
            <w:bottom w:w="0" w:type="dxa"/>
            <w:right w:w="0" w:type="dxa"/>
          </w:tblCellMar>
        </w:tblPrEx>
        <w:trPr>
          <w:trHeight w:val="375" w:hRule="atLeast"/>
          <w:jc w:val="center"/>
        </w:trPr>
        <w:tc>
          <w:tcPr>
            <w:tcW w:w="10456"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67" w:firstLineChars="95"/>
              <w:rPr>
                <w:rFonts w:ascii="黑体" w:hAnsi="宋体" w:eastAsia="黑体" w:cs="黑体"/>
                <w:color w:val="353535"/>
                <w:sz w:val="28"/>
                <w:szCs w:val="28"/>
              </w:rPr>
            </w:pPr>
            <w:r>
              <w:rPr>
                <w:rFonts w:hint="eastAsia" w:ascii="仿宋" w:hAnsi="仿宋" w:eastAsia="仿宋" w:cs="仿宋"/>
                <w:b/>
                <w:color w:val="000000"/>
                <w:kern w:val="0"/>
                <w:sz w:val="28"/>
                <w:szCs w:val="28"/>
                <w:lang w:bidi="ar"/>
              </w:rPr>
              <w:t xml:space="preserve">附件2 </w:t>
            </w:r>
            <w:bookmarkStart w:id="0" w:name="_GoBack"/>
            <w:r>
              <w:rPr>
                <w:rFonts w:hint="eastAsia" w:ascii="仿宋" w:hAnsi="仿宋" w:eastAsia="仿宋" w:cs="仿宋"/>
                <w:b/>
                <w:color w:val="000000"/>
                <w:kern w:val="0"/>
                <w:sz w:val="28"/>
                <w:szCs w:val="28"/>
                <w:lang w:bidi="ar"/>
              </w:rPr>
              <w:t>福州英华职业学院专任教师年度考核教科研与服务项目量化评分标准说明</w:t>
            </w:r>
            <w:bookmarkEnd w:id="0"/>
          </w:p>
        </w:tc>
      </w:tr>
      <w:tr>
        <w:tblPrEx>
          <w:tblCellMar>
            <w:top w:w="0" w:type="dxa"/>
            <w:left w:w="0" w:type="dxa"/>
            <w:bottom w:w="0" w:type="dxa"/>
            <w:right w:w="0" w:type="dxa"/>
          </w:tblCellMar>
        </w:tblPrEx>
        <w:trPr>
          <w:trHeight w:val="495" w:hRule="atLeast"/>
          <w:jc w:val="center"/>
        </w:trPr>
        <w:tc>
          <w:tcPr>
            <w:tcW w:w="107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类别</w:t>
            </w:r>
          </w:p>
        </w:tc>
        <w:tc>
          <w:tcPr>
            <w:tcW w:w="354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项目</w:t>
            </w:r>
          </w:p>
        </w:tc>
        <w:tc>
          <w:tcPr>
            <w:tcW w:w="582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lang w:bidi="ar"/>
              </w:rPr>
              <w:t>评价标准</w:t>
            </w:r>
          </w:p>
        </w:tc>
      </w:tr>
      <w:tr>
        <w:tblPrEx>
          <w:tblCellMar>
            <w:top w:w="0" w:type="dxa"/>
            <w:left w:w="0" w:type="dxa"/>
            <w:bottom w:w="0" w:type="dxa"/>
            <w:right w:w="0" w:type="dxa"/>
          </w:tblCellMar>
        </w:tblPrEx>
        <w:trPr>
          <w:trHeight w:val="999"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95"/>
              <w:jc w:val="center"/>
              <w:textAlignment w:val="cente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教科研定额分（基本项考核分为实际完成的定额*转换系数β，以35分为上限）</w:t>
            </w:r>
          </w:p>
        </w:tc>
        <w:tc>
          <w:tcPr>
            <w:tcW w:w="166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科技项目</w:t>
            </w: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项目类别K1</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纵向：自然基础类为3；自然应用类为1.5；社科基础类为3；社科应用类为1.5。</w:t>
            </w:r>
          </w:p>
        </w:tc>
      </w:tr>
      <w:tr>
        <w:tblPrEx>
          <w:tblCellMar>
            <w:top w:w="0" w:type="dxa"/>
            <w:left w:w="0" w:type="dxa"/>
            <w:bottom w:w="0" w:type="dxa"/>
            <w:right w:w="0" w:type="dxa"/>
          </w:tblCellMar>
        </w:tblPrEx>
        <w:trPr>
          <w:trHeight w:val="702"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横向：为1。</w:t>
            </w:r>
          </w:p>
        </w:tc>
      </w:tr>
      <w:tr>
        <w:tblPrEx>
          <w:tblCellMar>
            <w:top w:w="0" w:type="dxa"/>
            <w:left w:w="0" w:type="dxa"/>
            <w:bottom w:w="0" w:type="dxa"/>
            <w:right w:w="0" w:type="dxa"/>
          </w:tblCellMar>
        </w:tblPrEx>
        <w:trPr>
          <w:trHeight w:val="171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项目类别K2</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纵向：</w:t>
            </w:r>
          </w:p>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国家级：重大为10；重点为8；普通为7；</w:t>
            </w:r>
          </w:p>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省部级：重大为6； 重点为5；普通为4；</w:t>
            </w:r>
          </w:p>
          <w:p>
            <w:pPr>
              <w:widowControl/>
              <w:numPr>
                <w:ilvl w:val="0"/>
                <w:numId w:val="1"/>
              </w:numPr>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市厅级：重大为3； 重点为2；普通为1。</w:t>
            </w:r>
          </w:p>
        </w:tc>
      </w:tr>
      <w:tr>
        <w:tblPrEx>
          <w:tblCellMar>
            <w:top w:w="0" w:type="dxa"/>
            <w:left w:w="0" w:type="dxa"/>
            <w:bottom w:w="0" w:type="dxa"/>
            <w:right w:w="0" w:type="dxa"/>
          </w:tblCellMar>
        </w:tblPrEx>
        <w:trPr>
          <w:trHeight w:val="304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横向：</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1.工科：q≥50万元为7；50万元&gt;q≥20万元为6；20万元&gt;q≥10万元为5；10万元&gt;q≥5万元为3；5万元&gt;q≥1万元为2；</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2.文科：q≥20万元为7；20万元&gt;q≥10万元为6；</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10万元&gt;q≥5万元为5；5万元&gt;q≥1万元为2；</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3.知识产权转化：q≥30万元为7；30万元&gt;q≥10万元为6；10万元&gt;q≥5万元为5；5万元&gt;q≥1万元为2。</w:t>
            </w:r>
          </w:p>
        </w:tc>
      </w:tr>
      <w:tr>
        <w:tblPrEx>
          <w:tblCellMar>
            <w:top w:w="0" w:type="dxa"/>
            <w:left w:w="0" w:type="dxa"/>
            <w:bottom w:w="0" w:type="dxa"/>
            <w:right w:w="0" w:type="dxa"/>
          </w:tblCellMar>
        </w:tblPrEx>
        <w:trPr>
          <w:trHeight w:val="641"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77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标准工作量分值：K1*K2*q分</w:t>
            </w:r>
          </w:p>
        </w:tc>
      </w:tr>
      <w:tr>
        <w:tblPrEx>
          <w:tblCellMar>
            <w:top w:w="0" w:type="dxa"/>
            <w:left w:w="0" w:type="dxa"/>
            <w:bottom w:w="0" w:type="dxa"/>
            <w:right w:w="0" w:type="dxa"/>
          </w:tblCellMar>
        </w:tblPrEx>
        <w:trPr>
          <w:trHeight w:val="31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论著</w:t>
            </w:r>
          </w:p>
        </w:tc>
        <w:tc>
          <w:tcPr>
            <w:tcW w:w="1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论文</w:t>
            </w:r>
          </w:p>
        </w:tc>
        <w:tc>
          <w:tcPr>
            <w:tcW w:w="5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1.Nature、Science、Cell为1000分；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2.SCIE一区为100分；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3.SCIE二区为75分；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4.SCIE三区、SSCI为50分；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5.SCIE四区、EI为40分；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6.核心期刊为8分；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7.本科学报为5分；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8.其他CN期刊为2分；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9.学术会议汇编收录1分。</w:t>
            </w:r>
          </w:p>
        </w:tc>
      </w:tr>
      <w:tr>
        <w:tblPrEx>
          <w:tblCellMar>
            <w:top w:w="0" w:type="dxa"/>
            <w:left w:w="0" w:type="dxa"/>
            <w:bottom w:w="0" w:type="dxa"/>
            <w:right w:w="0" w:type="dxa"/>
          </w:tblCellMar>
        </w:tblPrEx>
        <w:trPr>
          <w:trHeight w:val="625"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学术专著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 w:hAnsi="仿宋" w:eastAsia="仿宋" w:cs="仿宋"/>
                <w:color w:val="000000"/>
                <w:sz w:val="24"/>
              </w:rPr>
            </w:pPr>
            <w:r>
              <w:rPr>
                <w:rFonts w:hint="eastAsia" w:ascii="仿宋" w:hAnsi="仿宋" w:eastAsia="仿宋" w:cs="仿宋"/>
                <w:color w:val="000000"/>
                <w:kern w:val="0"/>
                <w:sz w:val="24"/>
                <w:lang w:bidi="ar"/>
              </w:rPr>
              <w:t>7.5分*著作字数/万字。</w:t>
            </w:r>
          </w:p>
        </w:tc>
      </w:tr>
      <w:tr>
        <w:tblPrEx>
          <w:tblCellMar>
            <w:top w:w="0" w:type="dxa"/>
            <w:left w:w="0" w:type="dxa"/>
            <w:bottom w:w="0" w:type="dxa"/>
            <w:right w:w="0" w:type="dxa"/>
          </w:tblCellMar>
        </w:tblPrEx>
        <w:trPr>
          <w:trHeight w:val="720" w:hRule="atLeast"/>
          <w:jc w:val="center"/>
        </w:trPr>
        <w:tc>
          <w:tcPr>
            <w:tcW w:w="107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学术译著</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仿宋" w:hAnsi="仿宋" w:eastAsia="仿宋" w:cs="仿宋"/>
                <w:color w:val="000000"/>
                <w:sz w:val="24"/>
              </w:rPr>
            </w:pPr>
            <w:r>
              <w:rPr>
                <w:rFonts w:hint="eastAsia" w:ascii="仿宋" w:hAnsi="仿宋" w:eastAsia="仿宋" w:cs="仿宋"/>
                <w:color w:val="000000"/>
                <w:kern w:val="0"/>
                <w:sz w:val="24"/>
                <w:lang w:bidi="ar"/>
              </w:rPr>
              <w:t>2分*著作字数/万字。</w:t>
            </w:r>
          </w:p>
        </w:tc>
      </w:tr>
      <w:tr>
        <w:tblPrEx>
          <w:tblCellMar>
            <w:top w:w="0" w:type="dxa"/>
            <w:left w:w="0" w:type="dxa"/>
            <w:bottom w:w="0" w:type="dxa"/>
            <w:right w:w="0" w:type="dxa"/>
          </w:tblCellMar>
        </w:tblPrEx>
        <w:trPr>
          <w:trHeight w:val="2202" w:hRule="atLeast"/>
          <w:jc w:val="center"/>
        </w:trPr>
        <w:tc>
          <w:tcPr>
            <w:tcW w:w="107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210" w:firstLineChars="95"/>
              <w:jc w:val="cente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教科研定额分（基本项考核分为实际完成的定额*转换系数β，以35分为上限）</w:t>
            </w: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成果获奖</w:t>
            </w:r>
          </w:p>
          <w:p>
            <w:pPr>
              <w:widowControl/>
              <w:ind w:firstLine="228" w:firstLineChars="95"/>
              <w:jc w:val="center"/>
              <w:textAlignment w:val="center"/>
              <w:rPr>
                <w:rFonts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1.国家级奖励：一等为10000分、二等为6000分、重大贡献为5000分；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2.省部级奖励：一等为4000分、二等为3000分、重大贡献为2000分；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3.市厅级奖励：一等为1000分、二等为500分、重大贡献为300分。</w:t>
            </w:r>
          </w:p>
        </w:tc>
      </w:tr>
      <w:tr>
        <w:tblPrEx>
          <w:tblCellMar>
            <w:top w:w="0" w:type="dxa"/>
            <w:left w:w="0" w:type="dxa"/>
            <w:bottom w:w="0" w:type="dxa"/>
            <w:right w:w="0" w:type="dxa"/>
          </w:tblCellMar>
        </w:tblPrEx>
        <w:trPr>
          <w:trHeight w:val="639"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sz w:val="24"/>
              </w:rPr>
              <w:t>专利</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仿宋" w:hAnsi="仿宋" w:eastAsia="仿宋" w:cs="仿宋"/>
                <w:color w:val="000000"/>
                <w:sz w:val="24"/>
              </w:rPr>
            </w:pPr>
            <w:r>
              <w:rPr>
                <w:rFonts w:hint="eastAsia" w:ascii="仿宋" w:hAnsi="仿宋" w:eastAsia="仿宋" w:cs="仿宋"/>
                <w:color w:val="000000"/>
                <w:kern w:val="0"/>
                <w:sz w:val="24"/>
                <w:lang w:bidi="ar"/>
              </w:rPr>
              <w:t>国外专利为100分；发明专利为50分；实用新型专利为10分；外观设计专利、软件登记、集成电路设计为5分。</w:t>
            </w:r>
          </w:p>
        </w:tc>
      </w:tr>
      <w:tr>
        <w:tblPrEx>
          <w:tblCellMar>
            <w:top w:w="0" w:type="dxa"/>
            <w:left w:w="0" w:type="dxa"/>
            <w:bottom w:w="0" w:type="dxa"/>
            <w:right w:w="0" w:type="dxa"/>
          </w:tblCellMar>
        </w:tblPrEx>
        <w:trPr>
          <w:trHeight w:val="684"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标准制订</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1.国家标准、行业标准为150分；</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2.地方标准、行业标准为50分。</w:t>
            </w:r>
          </w:p>
        </w:tc>
      </w:tr>
      <w:tr>
        <w:tblPrEx>
          <w:tblCellMar>
            <w:top w:w="0" w:type="dxa"/>
            <w:left w:w="0" w:type="dxa"/>
            <w:bottom w:w="0" w:type="dxa"/>
            <w:right w:w="0" w:type="dxa"/>
          </w:tblCellMar>
        </w:tblPrEx>
        <w:trPr>
          <w:trHeight w:val="9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建议采纳</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1.国家领导人采纳为75分；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2.省部级领导采纳为30分；</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3.市厅级领导采纳为15分。</w:t>
            </w:r>
          </w:p>
        </w:tc>
      </w:tr>
      <w:tr>
        <w:tblPrEx>
          <w:tblCellMar>
            <w:top w:w="0" w:type="dxa"/>
            <w:left w:w="0" w:type="dxa"/>
            <w:bottom w:w="0" w:type="dxa"/>
            <w:right w:w="0" w:type="dxa"/>
          </w:tblCellMar>
        </w:tblPrEx>
        <w:trPr>
          <w:trHeight w:val="1248"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作品参展、收藏</w:t>
            </w:r>
          </w:p>
          <w:p>
            <w:pPr>
              <w:widowControl/>
              <w:ind w:firstLine="228" w:firstLineChars="95"/>
              <w:jc w:val="center"/>
              <w:textAlignment w:val="center"/>
              <w:rPr>
                <w:rFonts w:ascii="仿宋" w:hAnsi="仿宋" w:eastAsia="仿宋" w:cs="仿宋"/>
                <w:color w:val="000000"/>
                <w:sz w:val="24"/>
              </w:rPr>
            </w:pP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1.国家级为50分；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2.省部级为30分；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3.市厅级为10分；</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4.院级为2分。</w:t>
            </w:r>
          </w:p>
        </w:tc>
      </w:tr>
      <w:tr>
        <w:tblPrEx>
          <w:tblCellMar>
            <w:top w:w="0" w:type="dxa"/>
            <w:left w:w="0" w:type="dxa"/>
            <w:bottom w:w="0" w:type="dxa"/>
            <w:right w:w="0" w:type="dxa"/>
          </w:tblCellMar>
        </w:tblPrEx>
        <w:trPr>
          <w:trHeight w:val="953"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作品和艺术表演被媒体</w:t>
            </w:r>
          </w:p>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专题宣传</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1.央媒为40分；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2.省媒为20分；</w:t>
            </w:r>
          </w:p>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3.市媒为10分。</w:t>
            </w:r>
          </w:p>
        </w:tc>
      </w:tr>
      <w:tr>
        <w:tblPrEx>
          <w:tblCellMar>
            <w:top w:w="0" w:type="dxa"/>
            <w:left w:w="0" w:type="dxa"/>
            <w:bottom w:w="0" w:type="dxa"/>
            <w:right w:w="0" w:type="dxa"/>
          </w:tblCellMar>
        </w:tblPrEx>
        <w:trPr>
          <w:trHeight w:val="270" w:hRule="atLeast"/>
          <w:jc w:val="center"/>
        </w:trPr>
        <w:tc>
          <w:tcPr>
            <w:tcW w:w="107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科技平台建设</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1.新增：国家级为1250分；省部级为500分；市厅级为100分；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2.已有：国家级为250分；省部级为100分；市厅级为20分。</w:t>
            </w:r>
          </w:p>
        </w:tc>
      </w:tr>
      <w:tr>
        <w:tblPrEx>
          <w:tblCellMar>
            <w:top w:w="0" w:type="dxa"/>
            <w:left w:w="0" w:type="dxa"/>
            <w:bottom w:w="0" w:type="dxa"/>
            <w:right w:w="0" w:type="dxa"/>
          </w:tblCellMar>
        </w:tblPrEx>
        <w:trPr>
          <w:trHeight w:val="540" w:hRule="atLeast"/>
          <w:jc w:val="center"/>
        </w:trPr>
        <w:tc>
          <w:tcPr>
            <w:tcW w:w="107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学术讲座/技术报告</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学术讲座/技术报告指前一年度开设的面向全院师生或本系师生的学术讲座/技术报告，院级为2分，系级为1分，每项不超过1次。</w:t>
            </w:r>
          </w:p>
        </w:tc>
      </w:tr>
      <w:tr>
        <w:tblPrEx>
          <w:tblCellMar>
            <w:top w:w="0" w:type="dxa"/>
            <w:left w:w="0" w:type="dxa"/>
            <w:bottom w:w="0" w:type="dxa"/>
            <w:right w:w="0" w:type="dxa"/>
          </w:tblCellMar>
        </w:tblPrEx>
        <w:trPr>
          <w:trHeight w:val="985"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教科研附加分（本项考核分不进行转换，为完成的对应分值，与基本分总和以50分为上限</w:t>
            </w:r>
            <w:r>
              <w:rPr>
                <w:rFonts w:hint="eastAsia" w:ascii="宋体" w:hAnsi="宋体" w:eastAsia="宋体" w:cs="宋体"/>
                <w:b/>
                <w:bCs/>
                <w:color w:val="000000"/>
                <w:kern w:val="0"/>
                <w:sz w:val="22"/>
                <w:szCs w:val="22"/>
                <w:lang w:bidi="ar"/>
              </w:rPr>
              <w:t>）</w:t>
            </w: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教改项目</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1.国家级80分；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2.省级50分；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3.市级25分；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4.院级重点项目：40分，院级一般项目：20分。</w:t>
            </w:r>
          </w:p>
        </w:tc>
      </w:tr>
      <w:tr>
        <w:tblPrEx>
          <w:tblCellMar>
            <w:top w:w="0" w:type="dxa"/>
            <w:left w:w="0" w:type="dxa"/>
            <w:bottom w:w="0" w:type="dxa"/>
            <w:right w:w="0" w:type="dxa"/>
          </w:tblCellMar>
        </w:tblPrEx>
        <w:trPr>
          <w:trHeight w:val="1268"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3549"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教学质量工程</w:t>
            </w:r>
          </w:p>
        </w:tc>
        <w:tc>
          <w:tcPr>
            <w:tcW w:w="582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1.国家级100分；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2.省级80分；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3.市级40分；</w:t>
            </w:r>
          </w:p>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4.院级重点项目：60分，院级一般项目：30分。</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教材</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国家级规划教材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主编为10分/万字；副主编为6分/万字；参编为4分/万字。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省部级规划教材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主编为6分/万字；副主编为4分/万字；参编为3分/万字。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统编教材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主编为5分/万字；副主编为3.5分/万字；参编为2.5分/万字。</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校本教材</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主编为4分/万字；副主编为3分/万字；参编为2分/万字。</w:t>
            </w:r>
          </w:p>
        </w:tc>
      </w:tr>
      <w:tr>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教科研附加分（本项考核分不进行转换，为完成的对应分值，与基本分总和以50分为上限</w:t>
            </w:r>
            <w:r>
              <w:rPr>
                <w:rFonts w:hint="eastAsia" w:ascii="宋体" w:hAnsi="宋体" w:eastAsia="宋体" w:cs="宋体"/>
                <w:b/>
                <w:bCs/>
                <w:color w:val="000000"/>
                <w:kern w:val="0"/>
                <w:sz w:val="22"/>
                <w:szCs w:val="22"/>
                <w:lang w:bidi="ar"/>
              </w:rPr>
              <w:t>）</w:t>
            </w:r>
          </w:p>
        </w:tc>
        <w:tc>
          <w:tcPr>
            <w:tcW w:w="166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教学成果奖</w:t>
            </w: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国家级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特等为1000分；一等为800分；二等为500分。</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省级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特等为300分；一等为200分；二等为100分。</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p>
        </w:tc>
        <w:tc>
          <w:tcPr>
            <w:tcW w:w="188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28" w:firstLineChars="95"/>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院级</w:t>
            </w:r>
          </w:p>
        </w:tc>
        <w:tc>
          <w:tcPr>
            <w:tcW w:w="5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特等为80分；一等为40分；二等为20分。</w:t>
            </w:r>
          </w:p>
        </w:tc>
      </w:tr>
      <w:tr>
        <w:tblPrEx>
          <w:tblCellMar>
            <w:top w:w="0" w:type="dxa"/>
            <w:left w:w="0" w:type="dxa"/>
            <w:bottom w:w="0" w:type="dxa"/>
            <w:right w:w="0" w:type="dxa"/>
          </w:tblCellMar>
        </w:tblPrEx>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r>
              <w:rPr>
                <w:rFonts w:hint="eastAsia" w:ascii="仿宋" w:hAnsi="仿宋" w:eastAsia="仿宋" w:cs="仿宋"/>
                <w:color w:val="000000"/>
                <w:sz w:val="24"/>
              </w:rPr>
              <w:t>技术服务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重点项目：60分，个人得分不超过20分，一般项目30分，个人得分不超过10分。</w:t>
            </w:r>
          </w:p>
        </w:tc>
      </w:tr>
      <w:tr>
        <w:tblPrEx>
          <w:tblCellMar>
            <w:top w:w="0" w:type="dxa"/>
            <w:left w:w="0" w:type="dxa"/>
            <w:bottom w:w="0" w:type="dxa"/>
            <w:right w:w="0" w:type="dxa"/>
          </w:tblCellMar>
        </w:tblPrEx>
        <w:trPr>
          <w:trHeight w:val="769"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28" w:firstLineChars="95"/>
              <w:jc w:val="center"/>
              <w:rPr>
                <w:rFonts w:ascii="仿宋" w:hAnsi="仿宋" w:eastAsia="仿宋" w:cs="仿宋"/>
                <w:color w:val="000000"/>
                <w:sz w:val="24"/>
              </w:rPr>
            </w:pPr>
            <w:r>
              <w:rPr>
                <w:rFonts w:hint="eastAsia" w:ascii="仿宋" w:hAnsi="仿宋" w:eastAsia="仿宋" w:cs="仿宋"/>
                <w:color w:val="000000"/>
                <w:sz w:val="24"/>
              </w:rPr>
              <w:t>科技特派员</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省级：25分、市级15分、县级10分。</w:t>
            </w:r>
          </w:p>
        </w:tc>
      </w:tr>
      <w:tr>
        <w:tblPrEx>
          <w:tblCellMar>
            <w:top w:w="0" w:type="dxa"/>
            <w:left w:w="0" w:type="dxa"/>
            <w:bottom w:w="0" w:type="dxa"/>
            <w:right w:w="0" w:type="dxa"/>
          </w:tblCellMar>
        </w:tblPrEx>
        <w:trPr>
          <w:trHeight w:val="1870"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兼任学院行政职务工作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学院考核合格，兼任副处级管理干部（含系部主任助理）者加35分；兼任教研室主任、专业带头人、教工支部书记者加16分；兼任教研室副主任者加13分；兼任支部书记者加12分、支部副书记者加10分；担任学院学术委员会、工会委员会、专业建设委员会、工会小组长，且履行职责者按5分/人计算分数（同一人兼任不同职务者第二项及以上按照60%计算分数）。</w:t>
            </w:r>
          </w:p>
        </w:tc>
      </w:tr>
      <w:tr>
        <w:tblPrEx>
          <w:tblCellMar>
            <w:top w:w="0" w:type="dxa"/>
            <w:left w:w="0" w:type="dxa"/>
            <w:bottom w:w="0" w:type="dxa"/>
            <w:right w:w="0" w:type="dxa"/>
          </w:tblCellMar>
        </w:tblPrEx>
        <w:trPr>
          <w:trHeight w:val="97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青年教师培养工作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本学年担任青年教师导师，考核通过，按照6分/每个青年教师计算分数；考核不合格者，按照6分/每个青年教师进行扣分；本项分数上限为18分。</w:t>
            </w:r>
          </w:p>
        </w:tc>
      </w:tr>
      <w:tr>
        <w:tblPrEx>
          <w:tblCellMar>
            <w:top w:w="0" w:type="dxa"/>
            <w:left w:w="0" w:type="dxa"/>
            <w:bottom w:w="0" w:type="dxa"/>
            <w:right w:w="0" w:type="dxa"/>
          </w:tblCellMar>
        </w:tblPrEx>
        <w:trPr>
          <w:trHeight w:val="120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担任社团或协会指导教师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担任校级或经学院审批同意的系级学生社团或协会指导教师，完成相应指导业务，提供活动策划、总结报告等按照6分/个计算分数；获得校级优秀指导教师另加1分，获得市级另加2分，获得省级另加3分；本项分数上限为10分。</w:t>
            </w:r>
          </w:p>
        </w:tc>
      </w:tr>
      <w:tr>
        <w:tblPrEx>
          <w:tblCellMar>
            <w:top w:w="0" w:type="dxa"/>
            <w:left w:w="0" w:type="dxa"/>
            <w:bottom w:w="0" w:type="dxa"/>
            <w:right w:w="0" w:type="dxa"/>
          </w:tblCellMar>
        </w:tblPrEx>
        <w:trPr>
          <w:trHeight w:val="79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担任班主任工作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本学年担任学生班主任工作，考核通过者按照6分/人计算分数；本项分数上限为6分。</w:t>
            </w:r>
          </w:p>
        </w:tc>
      </w:tr>
      <w:tr>
        <w:tblPrEx>
          <w:tblCellMar>
            <w:top w:w="0" w:type="dxa"/>
            <w:left w:w="0" w:type="dxa"/>
            <w:bottom w:w="0" w:type="dxa"/>
            <w:right w:w="0" w:type="dxa"/>
          </w:tblCellMar>
        </w:tblPrEx>
        <w:trPr>
          <w:trHeight w:val="94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担任服务志愿者工作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担任学院安排的招生宣传、访企拓岗、迎新、招聘会、校级运动会、教师节大会、职业技能周、校园文化节等各类综合性、专项性工作的志愿者，工作认真负责的按照0.5分/小时计算分数。</w:t>
            </w:r>
          </w:p>
        </w:tc>
      </w:tr>
      <w:tr>
        <w:tblPrEx>
          <w:tblCellMar>
            <w:top w:w="0" w:type="dxa"/>
            <w:left w:w="0" w:type="dxa"/>
            <w:bottom w:w="0" w:type="dxa"/>
            <w:right w:w="0" w:type="dxa"/>
          </w:tblCellMar>
        </w:tblPrEx>
        <w:trPr>
          <w:trHeight w:val="98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承办院级综合性活动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本学年承办经学院审批同意的各类无报酬全院性综合活动，如校级运动会、教师节大会、职业技能周、校园文化节、职业技能比赛等，按照20分/项计算分数，分数权重由项目负责人统筹。</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承办系级综合性活动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本学年承办经学院审批同意的系级综合性活动（不含学工、团委组织的学生活动），按照10分/项计算分数，分数权重由项目负责人统筹。</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承办单项活动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本学年承办经学院审批同意的单项活动，如篮球比赛、十佳歌手比赛等，按照5分/项计算分数，分数权重由项目负责人统筹。</w:t>
            </w:r>
          </w:p>
          <w:p>
            <w:pPr>
              <w:widowControl/>
              <w:spacing w:line="260" w:lineRule="exact"/>
              <w:jc w:val="left"/>
              <w:textAlignment w:val="center"/>
              <w:rPr>
                <w:rFonts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执行学院重点工作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执行学院文明校、文化建设等学院单项性重点工作，根据开展工作的成效按照60分/项计算分数；执行高水平学校申报等学院综合性重点工作，根据开展工作的成效按照200分/项计算分数；分数权重由项目负责人统筹。</w:t>
            </w:r>
          </w:p>
          <w:p>
            <w:pPr>
              <w:widowControl/>
              <w:spacing w:line="260" w:lineRule="exact"/>
              <w:jc w:val="left"/>
              <w:textAlignment w:val="center"/>
              <w:rPr>
                <w:rFonts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学院建设性方案撰写</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撰写学院各类建设性方案，获得学院采用者，按照10分/项计算分数，参与者分数由项目负责人统筹。</w:t>
            </w:r>
          </w:p>
          <w:p>
            <w:pPr>
              <w:widowControl/>
              <w:spacing w:line="260" w:lineRule="exact"/>
              <w:jc w:val="left"/>
              <w:textAlignment w:val="center"/>
              <w:rPr>
                <w:rFonts w:ascii="仿宋" w:hAnsi="仿宋" w:eastAsia="仿宋" w:cs="仿宋"/>
                <w:color w:val="000000"/>
                <w:kern w:val="0"/>
                <w:sz w:val="24"/>
                <w:lang w:bidi="ar"/>
              </w:rPr>
            </w:pPr>
          </w:p>
        </w:tc>
      </w:tr>
      <w:tr>
        <w:tblPrEx>
          <w:tblCellMar>
            <w:top w:w="0" w:type="dxa"/>
            <w:left w:w="0" w:type="dxa"/>
            <w:bottom w:w="0" w:type="dxa"/>
            <w:right w:w="0" w:type="dxa"/>
          </w:tblCellMar>
        </w:tblPrEx>
        <w:trPr>
          <w:trHeight w:val="624" w:hRule="atLeast"/>
          <w:jc w:val="center"/>
        </w:trPr>
        <w:tc>
          <w:tcPr>
            <w:tcW w:w="1078"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r>
              <w:rPr>
                <w:rFonts w:hint="eastAsia" w:ascii="宋体" w:hAnsi="宋体" w:eastAsia="宋体" w:cs="宋体"/>
                <w:b/>
                <w:color w:val="000000"/>
                <w:kern w:val="0"/>
                <w:sz w:val="22"/>
                <w:szCs w:val="22"/>
                <w:lang w:bidi="ar"/>
              </w:rPr>
              <w:t>服务项目分值（以50分为上限）</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专项工作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担任由学院统一安排的各类专项工作，工作认真负责，组织制定者按照5分/项计算分数。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担任专项报表或数据填报工作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担任学院各类专项报表或数据填报工作，数据报送无误者按照3分/项计算分数。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实验（训）室或专业教室负责教师</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担任实验（训）室或专业教室负责人，相关管理资料完整，无安全事故发生者，按照1间12分，2间20分计算分数。</w:t>
            </w:r>
          </w:p>
        </w:tc>
      </w:tr>
      <w:tr>
        <w:tblPrEx>
          <w:tblCellMar>
            <w:top w:w="0" w:type="dxa"/>
            <w:left w:w="0" w:type="dxa"/>
            <w:bottom w:w="0" w:type="dxa"/>
            <w:right w:w="0" w:type="dxa"/>
          </w:tblCellMar>
        </w:tblPrEx>
        <w:trPr>
          <w:trHeight w:val="62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开展培训讲座</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本学年根据学院管理工作需要，经学院审批后，开展各类校内外培训讲座，按照3分/场计算分数。</w:t>
            </w:r>
          </w:p>
        </w:tc>
      </w:tr>
      <w:tr>
        <w:tblPrEx>
          <w:tblCellMar>
            <w:top w:w="0" w:type="dxa"/>
            <w:left w:w="0" w:type="dxa"/>
            <w:bottom w:w="0" w:type="dxa"/>
            <w:right w:w="0" w:type="dxa"/>
          </w:tblCellMar>
        </w:tblPrEx>
        <w:trPr>
          <w:trHeight w:val="844"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担任学院两级教学督导工作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经学院聘任为教学督导，工作认真负责、履行职责者，按照院级督导15分/人、系级督导7分/人计算分数。</w:t>
            </w:r>
          </w:p>
        </w:tc>
      </w:tr>
      <w:tr>
        <w:tblPrEx>
          <w:tblCellMar>
            <w:top w:w="0" w:type="dxa"/>
            <w:left w:w="0" w:type="dxa"/>
            <w:bottom w:w="0" w:type="dxa"/>
            <w:right w:w="0" w:type="dxa"/>
          </w:tblCellMar>
        </w:tblPrEx>
        <w:trPr>
          <w:trHeight w:val="97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代表学院参加各类活动</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由学院指派代表学院参加的汇演、职教周、校工会指派的各类活动等，具有提高学院声誉的，按照30分/项计算分数，每人单项目分数不高于10分，分数权重由项目负责人统筹。</w:t>
            </w:r>
          </w:p>
        </w:tc>
      </w:tr>
      <w:tr>
        <w:tblPrEx>
          <w:tblCellMar>
            <w:top w:w="0" w:type="dxa"/>
            <w:left w:w="0" w:type="dxa"/>
            <w:bottom w:w="0" w:type="dxa"/>
            <w:right w:w="0" w:type="dxa"/>
          </w:tblCellMar>
        </w:tblPrEx>
        <w:trPr>
          <w:trHeight w:val="1230"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参加学术会议、研讨会、培训等</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经学院审批同意参加校外学术交流会、研讨会、培训会等，提交会议通知、会议报到、培训证书等佐证材料者，时间在一周以内的按照2分/人计算分数，超过一周者按照每超过一周加2分计算，网络培训者按以上标准减半。</w:t>
            </w:r>
          </w:p>
        </w:tc>
      </w:tr>
      <w:tr>
        <w:tblPrEx>
          <w:tblCellMar>
            <w:top w:w="0" w:type="dxa"/>
            <w:left w:w="0" w:type="dxa"/>
            <w:bottom w:w="0" w:type="dxa"/>
            <w:right w:w="0" w:type="dxa"/>
          </w:tblCellMar>
        </w:tblPrEx>
        <w:trPr>
          <w:trHeight w:val="829"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较长时间的替岗工作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因突发情况，接受学院、系部安排的较长时间的代替工作者，经学院审批同意，根据工作量情况按照15-30分/人计算分数。</w:t>
            </w:r>
          </w:p>
        </w:tc>
      </w:tr>
      <w:tr>
        <w:tblPrEx>
          <w:tblCellMar>
            <w:top w:w="0" w:type="dxa"/>
            <w:left w:w="0" w:type="dxa"/>
            <w:bottom w:w="0" w:type="dxa"/>
            <w:right w:w="0" w:type="dxa"/>
          </w:tblCellMar>
        </w:tblPrEx>
        <w:trPr>
          <w:trHeight w:val="925" w:hRule="atLeast"/>
          <w:jc w:val="center"/>
        </w:trPr>
        <w:tc>
          <w:tcPr>
            <w:tcW w:w="1078"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协助行政服务职务</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因职能部门、系部工作需要，可向全院教师进行招募协助行政职务岗位，经学院审批同意者，根据教师协助时数及具体服务工作与成效按照20-35分/人计算分数。</w:t>
            </w:r>
          </w:p>
        </w:tc>
      </w:tr>
      <w:tr>
        <w:tblPrEx>
          <w:tblCellMar>
            <w:top w:w="0" w:type="dxa"/>
            <w:left w:w="0" w:type="dxa"/>
            <w:bottom w:w="0" w:type="dxa"/>
            <w:right w:w="0" w:type="dxa"/>
          </w:tblCellMar>
        </w:tblPrEx>
        <w:trPr>
          <w:trHeight w:val="974" w:hRule="atLeast"/>
          <w:jc w:val="center"/>
        </w:trPr>
        <w:tc>
          <w:tcPr>
            <w:tcW w:w="1078"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ind w:firstLine="209" w:firstLineChars="95"/>
              <w:jc w:val="center"/>
              <w:rPr>
                <w:rFonts w:ascii="宋体" w:hAnsi="宋体" w:eastAsia="宋体" w:cs="宋体"/>
                <w:color w:val="000000"/>
                <w:sz w:val="22"/>
                <w:szCs w:val="22"/>
              </w:rPr>
            </w:pPr>
          </w:p>
        </w:tc>
        <w:tc>
          <w:tcPr>
            <w:tcW w:w="16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60" w:lineRule="exact"/>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提高学院声誉工作</w:t>
            </w:r>
          </w:p>
        </w:tc>
        <w:tc>
          <w:tcPr>
            <w:tcW w:w="7715" w:type="dxa"/>
            <w:gridSpan w:val="2"/>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为学院取得各项荣誉，被媒体宣传报道，提高学院声誉的各类工作，按照1分/人.次计算分数。</w:t>
            </w:r>
          </w:p>
        </w:tc>
      </w:tr>
    </w:tbl>
    <w:p>
      <w:pPr>
        <w:rPr>
          <w:rFonts w:ascii="仿宋" w:hAnsi="仿宋" w:eastAsia="仿宋" w:cs="仿宋"/>
          <w:color w:val="000000"/>
          <w:kern w:val="0"/>
          <w:sz w:val="30"/>
          <w:szCs w:val="30"/>
          <w:lang w:bidi="ar"/>
        </w:rPr>
      </w:pPr>
      <w:r>
        <w:rPr>
          <w:rFonts w:hint="eastAsia" w:ascii="仿宋" w:hAnsi="仿宋" w:eastAsia="仿宋" w:cs="仿宋"/>
          <w:color w:val="000000"/>
          <w:kern w:val="0"/>
          <w:sz w:val="30"/>
          <w:szCs w:val="30"/>
          <w:lang w:bidi="ar"/>
        </w:rPr>
        <w:br w:type="page"/>
      </w:r>
    </w:p>
    <w:p>
      <w:pP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说明：</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科技项目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▲科技项目是指前一年度(即考核年度，下同)新立项目(院级项目除外)。</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▲自然基础类是指国家自然科学基金项目、省自然科学基金项目。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▲自然应用类是指纵向自然类项目除自然基础类外的其他项目。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▲社科基础类是指国家级科学、省科技厅级科学、国家社科基金、省社科规划、教育部、教育厅重点项目的纵向社科项目。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▲社科应用类是指纵向社科类项目除社科基础类外的其他项目。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▲q是指实际到校经费(单位:万元)。</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▲横向项目经费计算按个人年度累加。</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▲知识产权转化是指专利、软件版权、著作权等转化到校经费。</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1）国家级项目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重大项目是指我院为申报(依托)单位主持的国家自然(社会)科学基金重大项目(含参照重大项目管理的专项)。国家科技重大专项、国家重大科学研究计划、国家科技支撑计划、国家重大高技术产业化发展项目，国家自然科学基金创新研究群体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重点项目是指我院为申报(依托)单位主持的国家自然(社会)科学基金重点项目(含参照重点项目管理的专项)，国家杰出青年科学基金项目，国家科技重大专项、国家重大科学研究计划、国家科技支撑计划、国家重大高技术产业化发展项目所属独立课题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普通项目是指我院为申报(依托)单位主持的国家自然(社会)科学基金面上项目和青年基金(含参照面上管理的专项)，国家科技重大专项、国家重大科学研究计划、国家科技支撑计划、国家重大高技术产业化发展项目的子课题，国家高技术产业化发展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2）省部级项目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▲省部级重大项目是指我院为申报(依托)单位主持的教育部等相关部委重大(培育)项目，省科技厅、省发改委等重大项目等;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▲省部级重点项目是指我院为申报(依托)单位主持的教育部等相   关部委重点项目，省杰出青年科学基金，省科技厅、发改委重点项目等;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▲省部级普通项目是指我院为申报(依托)单位主持的除上述各类型项目以外的其他各类纵向项目。</w:t>
      </w:r>
    </w:p>
    <w:p>
      <w:pPr>
        <w:widowControl/>
        <w:numPr>
          <w:ilvl w:val="0"/>
          <w:numId w:val="3"/>
        </w:numPr>
        <w:spacing w:line="340" w:lineRule="exact"/>
        <w:ind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市厅级项目</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▲市厅级重大项目是指我院为申报(依托)单位主持的教育厅重大(培育)项目，市科技局、市发改委等重大项目等;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▲市厅级重点项目是指我院为申报(依托)单位主持的教育厅重点项目，省科技厅、发改委重点项目等;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▲市厅级普通项目是指我院为申报(依托)单位主持的除上述各类型项目以外的其他各类纵向项目。</w:t>
      </w:r>
    </w:p>
    <w:p>
      <w:pPr>
        <w:widowControl/>
        <w:spacing w:line="340" w:lineRule="exact"/>
        <w:ind w:firstLine="468" w:firstLineChars="1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备注:我院不是项目申报单位但我院教师作为负责人的项目，可按我院为第一单位予以认定参照执行;各类项目若资助部门明确规定企业牵头申报、高校只能作为第一合作单位，且在批准通知或计划文件署名“福州英华职业学院”为第一合作单位，可按我院为第一单位予以认定参照执行。</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科技成果</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▲著作指前一年度由出版部门正式出版的学术著作。</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▲著作字数是指由我院执笔撰写的字数。</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▲论文JCR分区以当年中国科技信息研究所提供的数据为准。</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▲核心期刊以《中国核心期刊要目总览》为准。</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▲CN 刊物是指在我国境内注册、国内公开发行的刊物。</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▲合作论文中我院教师和其他专业技术人员只能以福州英华职业学院为唯一作者单位。</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▲除特别说明外，论文计分只给第一作者或通讯作者。</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成果获奖</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▲成果获奖是指前一年度获得的国家、省部、市厅级科学奖励。国家、省部、市厅级奖:若我院为第二完成单位，其分值按相应奖项减半计算。若我院为第三完成单位按30%计分。其他位次均按10%计分。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▲国家级奖励是指国家自然科学奖、国家技术发明奖、国家科学技术进步奖等。</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省部级奖励是指由专门的管理机构按照既定的管理办法，定期组织、开放申报和严格评审，并以国家部委办局、省、自治区、直辖市名义下达的科技奖励。主要包括:(教育部)高等学校科学研究优秀成果奖、省社会科学优秀成果奖、省科技进步奖、全国教育科学研究优秀成果奖及国家有关部委的科技成果奖等。</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市厅级奖励是指由专门的管理机构按照既定的管理办法，定期组织、开放申报和严格评审，并以省各厅、局、部、委等部门和设区市名义下达的科技奖励。主要包括:福建省高等教育社会科学研究优秀成果、福州市社会科学优秀成果奖、福州市科学技术奖等。</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专利</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▲授权专利是指前一年度授权的职务专利。</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▲软件登记是指前一年度向国家版权局登记的软件。</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▲集成电路设计是指前一年度向国家知识产权局登记的设计。</w:t>
      </w:r>
    </w:p>
    <w:p>
      <w:pPr>
        <w:widowControl/>
        <w:spacing w:line="340" w:lineRule="exact"/>
        <w:ind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▲知识产权(专利、软件登记、集成电路设计)有多个权属人(我院为其中之一)时，按权属人数平分科研工作量。</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标准</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▲标准是指由福州英华职业学院作为第一或参与制定单位获得的标准(包括技术规范、规程)。若我院为第二制定单位，其分值按相应类别减半计算。若我院为第三制定单位按 30%计分。其他位次均按10%计分。</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建议采纳</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优秀建议被采纳，需出具国家领导人的批示、省市级领导的批示或加盖国家部委或省市政府公章的证明。若我院为第二建议单位，其分值按相应项目减半计算。若我院为第三建议单位按30%计分。其他位次均按10%计分。</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科研项目/作品参展、收藏</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▲科研项目/作品参展是指前一年度参加国家、省部、市厅级展示的科研项目/作品。国家、省部、市厅级:若我院为第二完成单位，其分值按相应级别减半计算。若我院为第三完成单位按 30%计分。其他位次均按 10%计分。作品被学院收藏或作为学院礼品赠送外宾 2分。</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科研项目、作品和艺术表演被媒体专题报道宣传</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▲专题是指在15分钟以上或广告影视3条以上（以广播报、电视报的节目预报文字或广播电台、电视台的证明为准）。</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▲表演项目认定范围限于独唱、独奏、独舞、合唱指挥、戏剧表演的主角。</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科技平台建设</w:t>
      </w:r>
    </w:p>
    <w:p>
      <w:pPr>
        <w:widowControl/>
        <w:spacing w:line="340" w:lineRule="exact"/>
        <w:ind w:left="718" w:leftChars="342"/>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▲科技平台是指前一年度新批准立项建设的平台。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▲国家级是指国家发改委、科技部批准建立的平台。</w:t>
      </w:r>
    </w:p>
    <w:p>
      <w:pPr>
        <w:widowControl/>
        <w:spacing w:line="340" w:lineRule="exact"/>
        <w:ind w:firstLine="708" w:firstLineChars="2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▲省部级是指除发改委、科技部外部委、科技厅、省发改委等批准建立的平台。</w:t>
      </w:r>
    </w:p>
    <w:p>
      <w:pPr>
        <w:widowControl/>
        <w:spacing w:line="340" w:lineRule="exact"/>
        <w:ind w:firstLine="708" w:firstLineChars="2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▲市厅级是指除科技厅、发改委外厅级、科技局、市发改委批准建立的平台。</w:t>
      </w:r>
    </w:p>
    <w:p>
      <w:pPr>
        <w:widowControl/>
        <w:spacing w:line="340" w:lineRule="exact"/>
        <w:ind w:firstLine="708" w:firstLineChars="2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▲已有平台是指获批的市厅级及以上平台前一年通过相应级别主管部门评估或校内考核的平台。</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教材</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国家规划或省部级规划教材是指以国家或省部级名义下达的规划教材，其他由出版社正式出版的专科及以上教材为统编教材，校本教材是学院内部使用尚未正式出版的教材，以上教材应是学院审批立项的教材；再版书籍（包括修订版）按原标准的10％计分，重印不计分。</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w:t>
      </w:r>
      <w:r>
        <w:rPr>
          <w:rFonts w:hint="eastAsia" w:ascii="仿宋" w:hAnsi="仿宋" w:eastAsia="仿宋" w:cs="仿宋"/>
          <w:color w:val="000000"/>
          <w:sz w:val="24"/>
        </w:rPr>
        <w:t>技术服务</w:t>
      </w:r>
      <w:r>
        <w:rPr>
          <w:rFonts w:hint="eastAsia" w:ascii="仿宋" w:hAnsi="仿宋" w:eastAsia="仿宋" w:cs="仿宋"/>
          <w:color w:val="000000"/>
          <w:kern w:val="0"/>
          <w:sz w:val="24"/>
          <w:lang w:bidi="ar"/>
        </w:rPr>
        <w:t xml:space="preserve"> </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▲根据学院工作安排，教师利用专业技术优势开展乡村振兴、互联网营销师培训等社会服务。</w:t>
      </w:r>
    </w:p>
    <w:p>
      <w:pPr>
        <w:widowControl/>
        <w:numPr>
          <w:ilvl w:val="0"/>
          <w:numId w:val="2"/>
        </w:numPr>
        <w:spacing w:line="340" w:lineRule="exact"/>
        <w:ind w:left="0" w:firstLine="228" w:firstLineChars="95"/>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其它</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▲除特别说明外，教科研工作量计分范围均以我院为第一署名单位申请和取(获)得的科技项目、科技成果、平台建设和学术交流工作量计分。</w:t>
      </w:r>
    </w:p>
    <w:p>
      <w:pPr>
        <w:widowControl/>
        <w:spacing w:line="340" w:lineRule="exact"/>
        <w:ind w:left="199" w:leftChars="95" w:firstLine="480" w:firstLineChars="200"/>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▲跨年度项目可在确定立项时申请50%分值，验收通过后申请剩余50%分值，若验收不通过，将在考核年度扣回立项时申请分值。</w:t>
      </w:r>
    </w:p>
    <w:p>
      <w:pPr>
        <w:ind w:firstLine="720" w:firstLineChars="300"/>
        <w:rPr>
          <w:rFonts w:ascii="仿宋" w:hAnsi="仿宋" w:eastAsia="仿宋" w:cs="仿宋"/>
          <w:color w:val="000000"/>
          <w:kern w:val="0"/>
          <w:sz w:val="30"/>
          <w:szCs w:val="30"/>
          <w:lang w:bidi="ar"/>
        </w:rPr>
      </w:pPr>
      <w:r>
        <w:rPr>
          <w:rFonts w:hint="eastAsia" w:ascii="仿宋" w:hAnsi="仿宋" w:eastAsia="仿宋" w:cs="仿宋"/>
          <w:color w:val="000000"/>
          <w:kern w:val="0"/>
          <w:sz w:val="24"/>
          <w:lang w:bidi="ar"/>
        </w:rPr>
        <w:t>▲涉及教科研工作量计分项目，专任教师应主动向教务处申请备案，凡未经教务处登记备案的项目不予确认。</w:t>
      </w:r>
      <w:r>
        <w:rPr>
          <w:rFonts w:hint="eastAsia" w:ascii="仿宋" w:hAnsi="仿宋" w:eastAsia="仿宋" w:cs="仿宋"/>
          <w:color w:val="000000"/>
          <w:kern w:val="0"/>
          <w:sz w:val="24"/>
          <w:lang w:bidi="ar"/>
        </w:rPr>
        <w:br w:type="textWrapping"/>
      </w:r>
    </w:p>
    <w:p>
      <w:pPr>
        <w:spacing w:line="100" w:lineRule="exact"/>
        <w:jc w:val="center"/>
      </w:pPr>
    </w:p>
    <w:sectPr>
      <w:footerReference r:id="rId3" w:type="default"/>
      <w:pgSz w:w="11906" w:h="16838"/>
      <w:pgMar w:top="1440" w:right="1633" w:bottom="1440" w:left="1633"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posOffset>5168265</wp:posOffset>
              </wp:positionH>
              <wp:positionV relativeFrom="paragraph">
                <wp:posOffset>0</wp:posOffset>
              </wp:positionV>
              <wp:extent cx="1828800" cy="1828800"/>
              <wp:effectExtent l="0" t="0" r="127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6.95pt;margin-top:0pt;height:144pt;width:144pt;mso-position-horizontal-relative:margin;mso-wrap-style:none;z-index:251659264;mso-width-relative:page;mso-height-relative:page;" filled="f" stroked="f" coordsize="21600,21600" o:gfxdata="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huDaj1QAAAAkBAAAPAAAAAAAAAAEAIAAA&#10;ACIAAABkcnMvZG93bnJldi54bWxQSwECFAAUAAAACACHTuJA2fow1g8CAAAHBAAADgAAAAAAAAAB&#10;ACAAAAAkAQAAZHJzL2Uyb0RvYy54bWxQSwUGAAAAAAYABgBZAQAApQUAAAAA&#10;">
              <v:fill on="f" focussize="0,0"/>
              <v:stroke on="f" weight="0.5pt"/>
              <v:imagedata o:title=""/>
              <o:lock v:ext="edit" aspectratio="f"/>
              <v:textbox inset="0mm,0mm,0mm,0mm" style="mso-fit-shape-to-text:t;">
                <w:txbxContent>
                  <w:p>
                    <w:pPr>
                      <w:pStyle w:val="6"/>
                      <w:rPr>
                        <w:sz w:val="24"/>
                      </w:rPr>
                    </w:pPr>
                    <w:r>
                      <w:rPr>
                        <w:sz w:val="24"/>
                      </w:rPr>
                      <w:fldChar w:fldCharType="begin"/>
                    </w:r>
                    <w:r>
                      <w:rPr>
                        <w:sz w:val="24"/>
                      </w:rPr>
                      <w:instrText xml:space="preserve"> PAGE  \* MERGEFORMAT </w:instrText>
                    </w:r>
                    <w:r>
                      <w:rPr>
                        <w:sz w:val="24"/>
                      </w:rPr>
                      <w:fldChar w:fldCharType="separate"/>
                    </w:r>
                    <w:r>
                      <w:rPr>
                        <w:sz w:val="24"/>
                      </w:rPr>
                      <w:t>- 2 -</w:t>
                    </w:r>
                    <w:r>
                      <w:rPr>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5CD7E"/>
    <w:multiLevelType w:val="singleLevel"/>
    <w:tmpl w:val="8665CD7E"/>
    <w:lvl w:ilvl="0" w:tentative="0">
      <w:start w:val="1"/>
      <w:numFmt w:val="decimal"/>
      <w:suff w:val="nothing"/>
      <w:lvlText w:val="%1、"/>
      <w:lvlJc w:val="left"/>
    </w:lvl>
  </w:abstractNum>
  <w:abstractNum w:abstractNumId="1">
    <w:nsid w:val="DBF71726"/>
    <w:multiLevelType w:val="singleLevel"/>
    <w:tmpl w:val="DBF71726"/>
    <w:lvl w:ilvl="0" w:tentative="0">
      <w:start w:val="3"/>
      <w:numFmt w:val="decimal"/>
      <w:suff w:val="nothing"/>
      <w:lvlText w:val="%1）"/>
      <w:lvlJc w:val="left"/>
    </w:lvl>
  </w:abstractNum>
  <w:abstractNum w:abstractNumId="2">
    <w:nsid w:val="FE3AA38C"/>
    <w:multiLevelType w:val="singleLevel"/>
    <w:tmpl w:val="FE3AA38C"/>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NjU2YzMwYTBkYjhjMzU5ZDkzN2Y4ODQzNzU0MzUifQ=="/>
    <w:docVar w:name="KSO_WPS_MARK_KEY" w:val="9f3c4e1b-a623-465f-bc8b-acd818fee2f1"/>
  </w:docVars>
  <w:rsids>
    <w:rsidRoot w:val="00E872F9"/>
    <w:rsid w:val="00293C34"/>
    <w:rsid w:val="003B27E4"/>
    <w:rsid w:val="00783957"/>
    <w:rsid w:val="00A546B9"/>
    <w:rsid w:val="00B70B6E"/>
    <w:rsid w:val="00B94FB9"/>
    <w:rsid w:val="00BE4500"/>
    <w:rsid w:val="00C9700A"/>
    <w:rsid w:val="00DB33B2"/>
    <w:rsid w:val="00E806AB"/>
    <w:rsid w:val="00E872F9"/>
    <w:rsid w:val="00F3675A"/>
    <w:rsid w:val="00FA2AE3"/>
    <w:rsid w:val="01A85E28"/>
    <w:rsid w:val="023935F7"/>
    <w:rsid w:val="02B7624C"/>
    <w:rsid w:val="03DF6894"/>
    <w:rsid w:val="08BA6E28"/>
    <w:rsid w:val="09EF4C97"/>
    <w:rsid w:val="10EB0857"/>
    <w:rsid w:val="13B67FFA"/>
    <w:rsid w:val="13D604FC"/>
    <w:rsid w:val="1827742D"/>
    <w:rsid w:val="19126A3D"/>
    <w:rsid w:val="1D1831EE"/>
    <w:rsid w:val="1F4D42B1"/>
    <w:rsid w:val="1FD053FB"/>
    <w:rsid w:val="2480698E"/>
    <w:rsid w:val="284B2E0F"/>
    <w:rsid w:val="29456BA0"/>
    <w:rsid w:val="2A7A3E7F"/>
    <w:rsid w:val="2AED43CE"/>
    <w:rsid w:val="30A25D51"/>
    <w:rsid w:val="362F3D70"/>
    <w:rsid w:val="385D1F1B"/>
    <w:rsid w:val="3D53070F"/>
    <w:rsid w:val="4330712C"/>
    <w:rsid w:val="43F565F9"/>
    <w:rsid w:val="48385242"/>
    <w:rsid w:val="50A13C77"/>
    <w:rsid w:val="527E1C17"/>
    <w:rsid w:val="563849EB"/>
    <w:rsid w:val="58165C3B"/>
    <w:rsid w:val="5AC8439B"/>
    <w:rsid w:val="5B921487"/>
    <w:rsid w:val="64B662D8"/>
    <w:rsid w:val="658517C5"/>
    <w:rsid w:val="6B837CC9"/>
    <w:rsid w:val="703025E3"/>
    <w:rsid w:val="707E0F14"/>
    <w:rsid w:val="7311735D"/>
    <w:rsid w:val="73695978"/>
    <w:rsid w:val="7471323E"/>
    <w:rsid w:val="7538135D"/>
    <w:rsid w:val="793D4D17"/>
    <w:rsid w:val="7A831D41"/>
    <w:rsid w:val="7ABF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40" w:line="276" w:lineRule="auto"/>
    </w:pPr>
  </w:style>
  <w:style w:type="paragraph" w:styleId="4">
    <w:name w:val="Date"/>
    <w:basedOn w:val="1"/>
    <w:next w:val="1"/>
    <w:link w:val="13"/>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paragraph" w:styleId="9">
    <w:name w:val="Body Text First Indent"/>
    <w:basedOn w:val="3"/>
    <w:unhideWhenUsed/>
    <w:qFormat/>
    <w:uiPriority w:val="99"/>
    <w:pPr>
      <w:ind w:firstLine="420" w:firstLineChars="100"/>
    </w:pPr>
    <w:rPr>
      <w:kern w:val="0"/>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日期 Char"/>
    <w:basedOn w:val="12"/>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2050</Words>
  <Characters>11686</Characters>
  <Lines>97</Lines>
  <Paragraphs>27</Paragraphs>
  <TotalTime>0</TotalTime>
  <ScaleCrop>false</ScaleCrop>
  <LinksUpToDate>false</LinksUpToDate>
  <CharactersWithSpaces>13709</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2022-08-03T05:52:00Z</dcterms:created>
  <dc:creator>40417</dc:creator>
  <cp:lastModifiedBy>WPS_1641383399</cp:lastModifiedBy>
  <cp:lastPrinted>2023-07-06T08:50:00Z</cp:lastPrinted>
  <dcterms:modified xsi:type="dcterms:W3CDTF">2023-12-20T06:25:38Z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39F73460CEA54DF89BAB057E624EBC97</vt:lpwstr>
  </property>
</Properties>
</file>