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both"/>
        <w:rPr>
          <w:rFonts w:hint="eastAsia" w:ascii="黑体" w:hAnsi="黑体" w:eastAsia="黑体" w:cs="黑体"/>
          <w:b w:val="0"/>
          <w:bCs w:val="0"/>
          <w:i w:val="0"/>
          <w:iCs w:val="0"/>
          <w:caps w:val="0"/>
          <w:color w:val="333333"/>
          <w:spacing w:val="0"/>
          <w:kern w:val="0"/>
          <w:sz w:val="28"/>
          <w:szCs w:val="28"/>
          <w:shd w:val="clear" w:fill="FFFFFF"/>
          <w:lang w:val="en-US" w:eastAsia="zh-CN" w:bidi="ar"/>
        </w:rPr>
      </w:pPr>
      <w:r>
        <w:rPr>
          <w:rFonts w:hint="eastAsia" w:ascii="黑体" w:hAnsi="黑体" w:eastAsia="黑体" w:cs="黑体"/>
          <w:b w:val="0"/>
          <w:bCs w:val="0"/>
          <w:i w:val="0"/>
          <w:iCs w:val="0"/>
          <w:caps w:val="0"/>
          <w:color w:val="333333"/>
          <w:spacing w:val="0"/>
          <w:kern w:val="0"/>
          <w:sz w:val="28"/>
          <w:szCs w:val="28"/>
          <w:shd w:val="clear" w:fill="FFFFFF"/>
          <w:lang w:val="en-US" w:eastAsia="zh-CN" w:bidi="ar"/>
        </w:rPr>
        <w:t>附件2</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lang w:val="en-US" w:eastAsia="zh-CN"/>
        </w:rPr>
        <w:t>福建省教育厅关于全面推进高等学校课程思政建设的实施意见</w:t>
      </w:r>
    </w:p>
    <w:p>
      <w:pPr>
        <w:keepNext w:val="0"/>
        <w:keepLines w:val="0"/>
        <w:widowControl/>
        <w:suppressLineNumbers w:val="0"/>
        <w:shd w:val="clear" w:fill="FFFFFF"/>
        <w:ind w:left="0" w:firstLine="0"/>
        <w:jc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闽教高〔2021〕46号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各设区市教育局、平潭综合实验区社会事业局，各高等学校：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为深入贯彻习近平总书记关于教育的重要论述和全国教育大会精神，落实中共中央、国务院《关于新时代加强和改进思想政治工作的意见》和中共中央办公厅、国务院办公厅《关于深化新时代学校思想政治理论课改革创新的若干意见》，全面推进高校课程思政建设，发挥好每门课程的育人作用，提高高校人才培养质量，根据教育部《高等学校课程思政建设指导纲要》，结合我省实际，现提出如下实施意见。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黑体" w:hAnsi="黑体" w:eastAsia="黑体" w:cs="黑体"/>
          <w:kern w:val="0"/>
          <w:sz w:val="28"/>
          <w:szCs w:val="28"/>
          <w:lang w:val="en-US" w:eastAsia="zh-CN" w:bidi="ar"/>
        </w:rPr>
        <w:t>一、总体目标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聚焦立德树人根本任务，构建全员全程全方位育人大格局。充分发挥高校每门课程的思想政治教育功能，建设适应新时代要求的一流课程，构建全面覆盖、类型丰富、层次递进、相互支撑的课程思政体系，广大教师开展课程思政的意识和能力全面提升，协同推进课程思政建设的机制更加健全，课程思政教育教学体系更加完善，高校立德树人成效更加凸显，形成“校校有特色、课课有思政、师师重育人”的良好局面。到2023年，选树省级课程思政示范课程100项，遴选省级课程思政教学名师和教学团队100个，建设省级课程思政教学研究示范中心30个，设立省级课程思政教学改革研究项目100项，产生一批可推广可复制的课程思政教育教学改革典型经验和特色做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黑体" w:hAnsi="黑体" w:eastAsia="黑体" w:cs="黑体"/>
          <w:kern w:val="0"/>
          <w:sz w:val="28"/>
          <w:szCs w:val="28"/>
          <w:lang w:val="en-US" w:eastAsia="zh-CN" w:bidi="ar"/>
        </w:rPr>
        <w:t>二、主要举措</w:t>
      </w:r>
      <w:r>
        <w:rPr>
          <w:rFonts w:hint="eastAsia" w:ascii="仿宋_GB2312" w:hAnsi="仿宋_GB2312" w:eastAsia="仿宋_GB2312" w:cs="仿宋_GB2312"/>
          <w:kern w:val="0"/>
          <w:sz w:val="28"/>
          <w:szCs w:val="28"/>
          <w:lang w:val="en-US" w:eastAsia="zh-CN" w:bidi="ar"/>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紧紧围绕全面提高人才培养质量，坚定学生理想信念，以爱党、爱国、爱社会主义、爱人民、爱集体为主线，围绕政治认同、家国情怀、文化素养、宪法精神、法治意识、道德修养等为重点优化课程思政内容供给，结合中国特色社会主义的伟大实践，系统进行中国特色社会主义和中国梦教育、社会主义核心价值观教育、法治教育、劳动教育、心理健康教育、中华优秀传统文化教育。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（一）科学修订培养方案。</w:t>
      </w:r>
      <w:r>
        <w:rPr>
          <w:rFonts w:hint="eastAsia" w:ascii="仿宋_GB2312" w:hAnsi="仿宋_GB2312" w:eastAsia="仿宋_GB2312" w:cs="仿宋_GB2312"/>
          <w:kern w:val="0"/>
          <w:sz w:val="28"/>
          <w:szCs w:val="28"/>
          <w:lang w:val="en-US" w:eastAsia="zh-CN" w:bidi="ar"/>
        </w:rPr>
        <w:t>结合办学定位和专业人才培养目标，围绕课程思政建设核心内容，全面科学修订人才培养方案，落实本科专业类教学质量国家标准、高等职业学校专业教学标准和专业认证标准。坚持学生中心、产出导向、持续改进，构建以思政课程、公共基础课程和通识教育课程、专业教育课程和实践类课程等相互支撑的课程思政育人体系，明确各类课程建设重点，不断优化课程设置，注重全面覆盖，促进知识传授与价值引领同频共振，各类课程与思政课程同向同行，显性教育和隐性教育相统一，提升学生的课程学习体验、学习效果。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　（二）分类推进课程思政。</w:t>
      </w:r>
      <w:r>
        <w:rPr>
          <w:rFonts w:hint="eastAsia" w:ascii="仿宋_GB2312" w:hAnsi="仿宋_GB2312" w:eastAsia="仿宋_GB2312" w:cs="仿宋_GB2312"/>
          <w:kern w:val="0"/>
          <w:sz w:val="28"/>
          <w:szCs w:val="28"/>
          <w:lang w:val="en-US" w:eastAsia="zh-CN" w:bidi="ar"/>
        </w:rPr>
        <w:t>结合不同学科专业、不同类别课程的属性特点，系统挖掘和梳理各学科专业的课程思政参考元素和案例，编制学科专业课程思政教学指南，建立课程思政操作规范，明确不同学科专业课程的思政目标，使专业课教师能在课程思政建设中找准角色、做出特色。对照《高等学校课程思政建设指导纲要》中的文学、历史学、哲学类，经济学、管理学、法学类，教育学类，理学、工学类，农学类，医学类和艺术学类等课程思政建设要求，开展“课程思政进大纲”专项工作，进一步细化课程目标。要在各类专业课程中传承和弘扬福建优秀传统文化，充分发挥福建党史事件多、红色资源多、革命先辈多的独特优势，以古田会议精神、长征精神、福建精神、“四史”学习教育、伟大建党精神、中华民族共同体意识、伟大抗疫精神等为主题，深入开展“传承红色基因，讲好福建故事”系列主题宣传教育。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高等职业学校要完善德技并修、工学结合育人机制，优化专业人才培养方案，根据专业分类和课程设置情况，将思想政治教育有机融入专业课程，提升专业课程教学的思想性和育人功能，加强职业理想、职业道德、职业行为规范教育，弘扬劳模精神、劳动精神、工匠精神，实现职业技能与职业精神培养高度融合。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（三）创新课堂思政方式。</w:t>
      </w:r>
      <w:r>
        <w:rPr>
          <w:rFonts w:hint="eastAsia" w:ascii="仿宋_GB2312" w:hAnsi="仿宋_GB2312" w:eastAsia="仿宋_GB2312" w:cs="仿宋_GB2312"/>
          <w:kern w:val="0"/>
          <w:sz w:val="28"/>
          <w:szCs w:val="28"/>
          <w:lang w:val="en-US" w:eastAsia="zh-CN" w:bidi="ar"/>
        </w:rPr>
        <w:t>充分发挥课堂教学“主渠道”作用，讲好用好“马工程”重点教材，推进思政元素进教学大纲、进教案课件、进考核评价。创新课堂教学模式，推广采用案例式、互动式、探究式教学，开展课程思政教法创优行动，推进现代信息技术在课程思政教学中的应用，统筹推进课堂教学、实践教学、网络教学建设。综合运用第一课堂和第二课堂，充分挖掘区域优质育人资源，利用各类红色场馆、创新创业基地等场所，组织开展大学生创新创业大赛、“青年红色筑梦之旅”“双百三级三创联动”等社会实践、志愿服务、实习实训活动，引导学生自主参与、体验感悟，推动创新创业教育与思想政治教育相融合。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　（四）提升教师育人能力。</w:t>
      </w:r>
      <w:r>
        <w:rPr>
          <w:rFonts w:hint="eastAsia" w:ascii="仿宋_GB2312" w:hAnsi="仿宋_GB2312" w:eastAsia="仿宋_GB2312" w:cs="仿宋_GB2312"/>
          <w:kern w:val="0"/>
          <w:sz w:val="28"/>
          <w:szCs w:val="28"/>
          <w:lang w:val="en-US" w:eastAsia="zh-CN" w:bidi="ar"/>
        </w:rPr>
        <w:t>激励和推动广大教师树牢课程思政育人理念，加强教师课程思政能力建设，将课程思政纳入教师师德师风、岗前培训、在岗培训和教学能力专题培训等，努力提升学科专业教师思政育人与专业课教学的有机融合能力。充分发挥教研室、教学团队、课程组等基层教学组织作用，建立课程思政集体教研制度，探索虚拟教研室模式，多措并举提升教师育人能力。鼓励支持院士、“长江学者”“杰青”、国家级教学名师等带头开展课程思政建设，评选一批课程思政教学名师和教学团队，努力培养塑造学生品格、品行、品位的“大先生”。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　（五）完善课程思政评价。</w:t>
      </w:r>
      <w:r>
        <w:rPr>
          <w:rFonts w:hint="eastAsia" w:ascii="仿宋_GB2312" w:hAnsi="仿宋_GB2312" w:eastAsia="仿宋_GB2312" w:cs="仿宋_GB2312"/>
          <w:kern w:val="0"/>
          <w:sz w:val="28"/>
          <w:szCs w:val="28"/>
          <w:lang w:val="en-US" w:eastAsia="zh-CN" w:bidi="ar"/>
        </w:rPr>
        <w:t>建立健全多层次、多维度的课程思政建设成效考核评价体系和监督检查机制，将课程思政建设纳入“双一流”、应用型高校、“双高计划”建设和学科评估、本科教学评估、一流专业及一流课程建设等评价考核，高校要将课程思政建设纳入院系教学绩效考核。充分发挥各级各类教学指导委员会等专家组织作用，研究制订科学多元的课程思政评价标准，明确教学设计、育人因素、挖掘转化、教学方法、教学效果、教师素养等方面的测评指标，开展实质性评价。加强日常监测，强化教师思想政治素质表现考察，落实新时代高校教师职业行为准则，健全教师荣誉制度，把教师参与课程思政建设情况和教学效果作为教师考核评价、岗位聘用、评优奖励、选拔培训、教改立项的优先要求。在教学成果奖、优秀教材等各类成果的表彰奖励，突出课程思政要求，加大对课程思政建设优秀成果的支持力度，调动各方建设课程思政的积极性。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（六）深化课程思政研究。</w:t>
      </w:r>
      <w:r>
        <w:rPr>
          <w:rFonts w:hint="eastAsia" w:ascii="仿宋_GB2312" w:hAnsi="仿宋_GB2312" w:eastAsia="仿宋_GB2312" w:cs="仿宋_GB2312"/>
          <w:kern w:val="0"/>
          <w:sz w:val="28"/>
          <w:szCs w:val="28"/>
          <w:lang w:val="en-US" w:eastAsia="zh-CN" w:bidi="ar"/>
        </w:rPr>
        <w:t>鼓励和支持广大教师开展多种形式的课程思政研究与实践，支持思政课教师与专业教师合作教研，构建更加完善的课程思政建设研究体系，统筹资源重点打造一批国家级、省级、校级、院（系）级课程思政研究示范中心。在省级、校级教改研究项目中优先支持课程思政类、专业思政类研究课题。将课程思政建设融入新工科、新医科、新农科、新文科建设及一流（高水平）专业（群）、一流课程建设的内涵要求，加大对高水平课程思政研究与实践成果的推广应用，总结汇编一批高校课程思政改革典型案例和特色做法。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（七）优化课程思政管理。</w:t>
      </w:r>
      <w:r>
        <w:rPr>
          <w:rFonts w:hint="eastAsia" w:ascii="仿宋_GB2312" w:hAnsi="仿宋_GB2312" w:eastAsia="仿宋_GB2312" w:cs="仿宋_GB2312"/>
          <w:kern w:val="0"/>
          <w:sz w:val="28"/>
          <w:szCs w:val="28"/>
          <w:lang w:val="en-US" w:eastAsia="zh-CN" w:bidi="ar"/>
        </w:rPr>
        <w:t>全面修订完善人才培养各环节规章制度，将课程思政落实到培养方案制订、课程体系设计、教学大纲修订、教材编审选用、教案课件编写、资源配置优化各方面，贯穿于课堂授课、教学研讨、实验实训、作业论文、课外实践各环节。健全课堂教学管理体系，改进课堂教学过程管理，强化教学制度建设与执行，健全校、院两级领导听课制度，加强教学督导团队建设，完善学生评教制度，提高课程思政融入课堂教学的水平。完善教材规划编写选用和审核机制，统一使用“马工程”重点教材，定期开展教材专项检查，加强教材质量监控和评价机制建设。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黑体" w:hAnsi="黑体" w:eastAsia="黑体" w:cs="黑体"/>
          <w:kern w:val="0"/>
          <w:sz w:val="28"/>
          <w:szCs w:val="28"/>
          <w:lang w:val="en-US" w:eastAsia="zh-CN" w:bidi="ar"/>
        </w:rPr>
        <w:t>　三、组织保障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（一）强化组织领导。</w:t>
      </w:r>
      <w:r>
        <w:rPr>
          <w:rFonts w:hint="eastAsia" w:ascii="仿宋_GB2312" w:hAnsi="仿宋_GB2312" w:eastAsia="仿宋_GB2312" w:cs="仿宋_GB2312"/>
          <w:kern w:val="0"/>
          <w:sz w:val="28"/>
          <w:szCs w:val="28"/>
          <w:lang w:val="en-US" w:eastAsia="zh-CN" w:bidi="ar"/>
        </w:rPr>
        <w:t>加强对课程思政建设的领导，省教育厅成立以厅领导为组长、相关处室共同组成的领导小组，统筹指导高校课程思政工作。委托省高校课程思政教育联盟成立课程思政建设专家咨询委员会，为全省高校课程思政建设研究、交流与咨询搭建平台。各地、各高校要切实加强对课程思政建设的领导，健全工作机制，结合实际研制课程思政建设工作方案。各高校要建立党委统一领导、党政齐抓共管、教务部门牵头抓总、相关部门联动、院系落实推进、自身特色鲜明的课程思政建设工作格局，并将课程思政建设工作列入年度工作要点。各高校党委（常委）会、校长办公会每学期至少召开1次专题会议研究课程思政建设工作，统筹推进教学改革，协调落实重点任务。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（二）强化支持保障。</w:t>
      </w:r>
      <w:r>
        <w:rPr>
          <w:rFonts w:hint="eastAsia" w:ascii="仿宋_GB2312" w:hAnsi="仿宋_GB2312" w:eastAsia="仿宋_GB2312" w:cs="仿宋_GB2312"/>
          <w:kern w:val="0"/>
          <w:sz w:val="28"/>
          <w:szCs w:val="28"/>
          <w:lang w:val="en-US" w:eastAsia="zh-CN" w:bidi="ar"/>
        </w:rPr>
        <w:t>加大课程思政建设力度，支持引导高校全面推进课程思政建设。各高校要统筹资源，加大对课程思政建设的投入力度，确保相关课程教材建设、教学资源配置、师资培养培训的正常开展，为课程思政教学改革与教学研究提供必要的政策和条件保障。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w:t>
      </w:r>
      <w:r>
        <w:rPr>
          <w:rFonts w:hint="eastAsia" w:ascii="仿宋_GB2312" w:hAnsi="仿宋_GB2312" w:eastAsia="仿宋_GB2312" w:cs="仿宋_GB2312"/>
          <w:b/>
          <w:bCs/>
          <w:kern w:val="0"/>
          <w:sz w:val="28"/>
          <w:szCs w:val="28"/>
          <w:lang w:val="en-US" w:eastAsia="zh-CN" w:bidi="ar"/>
        </w:rPr>
        <w:t>（三）强化示范引领。</w:t>
      </w:r>
      <w:r>
        <w:rPr>
          <w:rFonts w:hint="eastAsia" w:ascii="仿宋_GB2312" w:hAnsi="仿宋_GB2312" w:eastAsia="仿宋_GB2312" w:cs="仿宋_GB2312"/>
          <w:kern w:val="0"/>
          <w:sz w:val="28"/>
          <w:szCs w:val="28"/>
          <w:lang w:val="en-US" w:eastAsia="zh-CN" w:bidi="ar"/>
        </w:rPr>
        <w:t>面向不同层次高校、不同学科专业、不同类型课程，持续深入抓典型、树标杆、推经验，形成规模、形成范式、形成体系。探索建设“国家—省—校—院(系)—专业—课程”六级课程思政示范体系，形成“一校一特色”课程思政工作模式，大力推广课程思政建设先进经验和做法，打造高校课程思政特色品牌，形成广泛开展课程思政建设的良好氛围。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1.福建省高校课程思政示范课程建设标准（试行）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　　2.福建省高校课程思政教学研究示范中心建设标准（试行） </w:t>
      </w:r>
    </w:p>
    <w:p/>
    <w:p/>
    <w:p/>
    <w:p/>
    <w:p/>
    <w:p/>
    <w:p/>
    <w:p/>
    <w:p/>
    <w:p/>
    <w:p/>
    <w:p/>
    <w:p/>
    <w:p/>
    <w:p/>
    <w:p/>
    <w:p/>
    <w:p/>
    <w:p/>
    <w:p/>
    <w:p/>
    <w:p/>
    <w:p/>
    <w:p/>
    <w:p/>
    <w:p/>
    <w:p/>
    <w:p/>
    <w:p/>
    <w:p/>
    <w:p/>
    <w:p/>
    <w:p/>
    <w:p/>
    <w:p/>
    <w:p/>
    <w:p/>
    <w:p/>
    <w:p/>
    <w:p/>
    <w:p>
      <w:pPr>
        <w:adjustRightInd w:val="0"/>
        <w:snapToGrid w:val="0"/>
        <w:spacing w:line="560" w:lineRule="exact"/>
        <w:rPr>
          <w:rFonts w:hint="eastAsia" w:ascii="方正小标宋简体" w:hAnsi="方正小标宋简体" w:eastAsia="方正小标宋简体" w:cs="方正小标宋简体"/>
          <w:sz w:val="44"/>
          <w:szCs w:val="44"/>
        </w:rPr>
      </w:pPr>
      <w:r>
        <w:rPr>
          <w:rFonts w:hint="eastAsia" w:ascii="黑体" w:hAnsi="黑体" w:eastAsia="黑体" w:cs="黑体"/>
        </w:rPr>
        <w:t>附件1</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福建省高校课程思政示范课程建设标准</w:t>
      </w:r>
    </w:p>
    <w:p>
      <w:pPr>
        <w:adjustRightInd w:val="0"/>
        <w:snapToGrid w:val="0"/>
        <w:spacing w:line="560" w:lineRule="exact"/>
        <w:jc w:val="center"/>
        <w:rPr>
          <w:rFonts w:hint="eastAsia" w:ascii="仿宋_GB2312" w:hAnsi="仿宋_GB2312" w:eastAsia="仿宋_GB2312" w:cs="仿宋_GB2312"/>
          <w:sz w:val="28"/>
          <w:szCs w:val="36"/>
        </w:rPr>
      </w:pPr>
      <w:bookmarkStart w:id="0" w:name="_GoBack"/>
      <w:r>
        <w:rPr>
          <w:rFonts w:hint="eastAsia" w:ascii="楷体_GB2312" w:hAnsi="楷体_GB2312" w:eastAsia="楷体_GB2312" w:cs="楷体_GB2312"/>
          <w:sz w:val="28"/>
          <w:szCs w:val="56"/>
        </w:rPr>
        <w:t>（试行）</w:t>
      </w:r>
    </w:p>
    <w:bookmarkEnd w:id="0"/>
    <w:tbl>
      <w:tblPr>
        <w:tblStyle w:val="5"/>
        <w:tblW w:w="8848" w:type="dxa"/>
        <w:jc w:val="center"/>
        <w:tblLayout w:type="fixed"/>
        <w:tblCellMar>
          <w:top w:w="15" w:type="dxa"/>
          <w:left w:w="15" w:type="dxa"/>
          <w:bottom w:w="15" w:type="dxa"/>
          <w:right w:w="15" w:type="dxa"/>
        </w:tblCellMar>
      </w:tblPr>
      <w:tblGrid>
        <w:gridCol w:w="1753"/>
        <w:gridCol w:w="1873"/>
        <w:gridCol w:w="5222"/>
      </w:tblGrid>
      <w:tr>
        <w:tblPrEx>
          <w:tblCellMar>
            <w:top w:w="15" w:type="dxa"/>
            <w:left w:w="15" w:type="dxa"/>
            <w:bottom w:w="15" w:type="dxa"/>
            <w:right w:w="15" w:type="dxa"/>
          </w:tblCellMar>
        </w:tblPrEx>
        <w:trPr>
          <w:cantSplit/>
          <w:trHeight w:val="1106" w:hRule="atLeast"/>
          <w:tblHeader/>
          <w:jc w:val="center"/>
        </w:trPr>
        <w:tc>
          <w:tcPr>
            <w:tcW w:w="1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b/>
                <w:sz w:val="28"/>
                <w:szCs w:val="28"/>
              </w:rPr>
            </w:pPr>
            <w:r>
              <w:rPr>
                <w:rFonts w:hint="eastAsia" w:ascii="宋体" w:hAnsi="宋体" w:eastAsia="宋体" w:cs="宋体"/>
                <w:b/>
                <w:kern w:val="0"/>
                <w:sz w:val="28"/>
                <w:szCs w:val="28"/>
                <w:lang w:bidi="ar"/>
              </w:rPr>
              <w:t>一级指标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b/>
                <w:sz w:val="28"/>
                <w:szCs w:val="28"/>
              </w:rPr>
            </w:pPr>
            <w:r>
              <w:rPr>
                <w:rFonts w:hint="eastAsia" w:ascii="宋体" w:hAnsi="宋体" w:eastAsia="宋体" w:cs="宋体"/>
                <w:b/>
                <w:kern w:val="0"/>
                <w:sz w:val="28"/>
                <w:szCs w:val="28"/>
                <w:lang w:bidi="ar"/>
              </w:rPr>
              <w:t>二级指标</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宋体" w:hAnsi="宋体" w:eastAsia="宋体" w:cs="宋体"/>
                <w:b/>
                <w:sz w:val="28"/>
                <w:szCs w:val="28"/>
              </w:rPr>
            </w:pPr>
            <w:r>
              <w:rPr>
                <w:rFonts w:hint="eastAsia" w:ascii="宋体" w:hAnsi="宋体" w:eastAsia="宋体" w:cs="宋体"/>
                <w:b/>
                <w:kern w:val="0"/>
                <w:sz w:val="28"/>
                <w:szCs w:val="28"/>
                <w:lang w:bidi="ar"/>
              </w:rPr>
              <w:t>指标内涵</w:t>
            </w:r>
          </w:p>
        </w:tc>
      </w:tr>
      <w:tr>
        <w:tblPrEx>
          <w:tblCellMar>
            <w:top w:w="15" w:type="dxa"/>
            <w:left w:w="15" w:type="dxa"/>
            <w:bottom w:w="15" w:type="dxa"/>
            <w:right w:w="15" w:type="dxa"/>
          </w:tblCellMar>
        </w:tblPrEx>
        <w:trPr>
          <w:cantSplit/>
          <w:trHeight w:val="685"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课程资源</w:t>
            </w:r>
          </w:p>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支撑度</w:t>
            </w:r>
          </w:p>
        </w:tc>
        <w:tc>
          <w:tcPr>
            <w:tcW w:w="187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课程团队</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授课教师政治立场坚定，师德师风良好，思维新、视野广、自律严、人格正，注重为人师表。</w:t>
            </w:r>
          </w:p>
        </w:tc>
      </w:tr>
      <w:tr>
        <w:tblPrEx>
          <w:tblCellMar>
            <w:top w:w="15" w:type="dxa"/>
            <w:left w:w="15" w:type="dxa"/>
            <w:bottom w:w="15" w:type="dxa"/>
            <w:right w:w="15" w:type="dxa"/>
          </w:tblCellMar>
        </w:tblPrEx>
        <w:trPr>
          <w:cantSplit/>
          <w:trHeight w:val="81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课程负责人具有高级职称或博士学位，能够准确把握本课程开展课程思政建设的方向和重点，并融入课程教学全过程。</w:t>
            </w:r>
          </w:p>
        </w:tc>
      </w:tr>
      <w:tr>
        <w:tblPrEx>
          <w:tblCellMar>
            <w:top w:w="15" w:type="dxa"/>
            <w:left w:w="15" w:type="dxa"/>
            <w:bottom w:w="15" w:type="dxa"/>
            <w:right w:w="15" w:type="dxa"/>
          </w:tblCellMar>
        </w:tblPrEx>
        <w:trPr>
          <w:cantSplit/>
          <w:trHeight w:val="92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课程教学团队人员结构合理，任务分工明确，集体教研制度完善且有效实施，经常性开展课程思政建设教学研究和交流,课程思政建设整体水平高。</w:t>
            </w:r>
          </w:p>
        </w:tc>
      </w:tr>
      <w:tr>
        <w:tblPrEx>
          <w:tblCellMar>
            <w:top w:w="15" w:type="dxa"/>
            <w:left w:w="15" w:type="dxa"/>
            <w:bottom w:w="15" w:type="dxa"/>
            <w:right w:w="15" w:type="dxa"/>
          </w:tblCellMar>
        </w:tblPrEx>
        <w:trPr>
          <w:cantSplit/>
          <w:trHeight w:val="92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课程资源</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课程已纳入人才培养方案或专业考试计划，实施学分管理，并至少经过两个学期或两个教学周期的建设和完善。</w:t>
            </w:r>
          </w:p>
        </w:tc>
      </w:tr>
      <w:tr>
        <w:tblPrEx>
          <w:tblCellMar>
            <w:top w:w="15" w:type="dxa"/>
            <w:left w:w="15" w:type="dxa"/>
            <w:bottom w:w="15" w:type="dxa"/>
            <w:right w:w="15" w:type="dxa"/>
          </w:tblCellMar>
        </w:tblPrEx>
        <w:trPr>
          <w:cantSplit/>
          <w:trHeight w:val="92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注重挖掘和开拓与本课程紧密相关的课程思政资源，形成丰富的课程思政资源库，把牢意识形态和价值取向，编写或选用高质量配套教材。</w:t>
            </w:r>
          </w:p>
        </w:tc>
      </w:tr>
      <w:tr>
        <w:tblPrEx>
          <w:tblCellMar>
            <w:top w:w="15" w:type="dxa"/>
            <w:left w:w="15" w:type="dxa"/>
            <w:bottom w:w="15" w:type="dxa"/>
            <w:right w:w="15" w:type="dxa"/>
          </w:tblCellMar>
        </w:tblPrEx>
        <w:trPr>
          <w:cantSplit/>
          <w:trHeight w:val="925"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课程目标</w:t>
            </w:r>
          </w:p>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达成度</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教学目标</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落实学生中心、产出导向、持续改进理念，结合本课程在专业人才培养方案中的功能定位，根据课程性质与特点、授课对象等，制定科学合理、有效支撑思政要求的课程教学目标。</w:t>
            </w:r>
          </w:p>
        </w:tc>
      </w:tr>
      <w:tr>
        <w:tblPrEx>
          <w:tblCellMar>
            <w:top w:w="15" w:type="dxa"/>
            <w:left w:w="15" w:type="dxa"/>
            <w:bottom w:w="15" w:type="dxa"/>
            <w:right w:w="15" w:type="dxa"/>
          </w:tblCellMar>
        </w:tblPrEx>
        <w:trPr>
          <w:cantSplit/>
          <w:trHeight w:val="92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达成评价</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课程考核方式和评价办法完善，将课程思政元素充分融入过程性考核和结果性考核所涵盖的知识、能力与素质中。</w:t>
            </w:r>
          </w:p>
        </w:tc>
      </w:tr>
      <w:tr>
        <w:tblPrEx>
          <w:tblCellMar>
            <w:top w:w="15" w:type="dxa"/>
            <w:left w:w="15" w:type="dxa"/>
            <w:bottom w:w="15" w:type="dxa"/>
            <w:right w:w="15" w:type="dxa"/>
          </w:tblCellMar>
        </w:tblPrEx>
        <w:trPr>
          <w:cantSplit/>
          <w:trHeight w:val="925"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教学模式</w:t>
            </w:r>
          </w:p>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融合度</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教学设计</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课程准确把握“坚定学生理想信念，教育学生爱党、爱国、爱社会主义、爱人民、爱集体</w:t>
            </w:r>
            <w:r>
              <w:rPr>
                <w:rFonts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bidi="ar"/>
              </w:rPr>
              <w:t>主线，结合所在学科专业、所属课程类型的育人要求和特点，深入挖掘蕴含的思政教育元素，优化课程思政内容供给，科学设计教案课件。</w:t>
            </w:r>
          </w:p>
        </w:tc>
      </w:tr>
      <w:tr>
        <w:tblPrEx>
          <w:tblCellMar>
            <w:top w:w="15" w:type="dxa"/>
            <w:left w:w="15" w:type="dxa"/>
            <w:bottom w:w="15" w:type="dxa"/>
            <w:right w:w="15" w:type="dxa"/>
          </w:tblCellMar>
        </w:tblPrEx>
        <w:trPr>
          <w:cantSplit/>
          <w:trHeight w:val="92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教学方法</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注重课程思政教学模式创新，推进课程思政与现代教育技术有机融合，采取启发式、研讨性、案例式、项目式等多种教学方式，帮助学生树立正确的世界观、人生观和价值观，教学方法体现先进性、互动性与针对性。</w:t>
            </w:r>
          </w:p>
        </w:tc>
      </w:tr>
      <w:tr>
        <w:tblPrEx>
          <w:tblCellMar>
            <w:top w:w="15" w:type="dxa"/>
            <w:left w:w="15" w:type="dxa"/>
            <w:bottom w:w="15" w:type="dxa"/>
            <w:right w:w="15" w:type="dxa"/>
          </w:tblCellMar>
        </w:tblPrEx>
        <w:trPr>
          <w:cantSplit/>
          <w:trHeight w:val="92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教学实施</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能够结合学校办学定位和专业特色，注重价值引领、知识传授与能力培养相统一，综合运用第一课堂和第二课堂，将思政教育有机融入课程教学各环节，达到润物无声的育人效果，教学内容体现思想性、前沿性与时代性。</w:t>
            </w:r>
          </w:p>
        </w:tc>
      </w:tr>
      <w:tr>
        <w:tblPrEx>
          <w:tblCellMar>
            <w:top w:w="15" w:type="dxa"/>
            <w:left w:w="15" w:type="dxa"/>
            <w:bottom w:w="15" w:type="dxa"/>
            <w:right w:w="15" w:type="dxa"/>
          </w:tblCellMar>
        </w:tblPrEx>
        <w:trPr>
          <w:cantSplit/>
          <w:trHeight w:val="746" w:hRule="atLeast"/>
          <w:jc w:val="center"/>
        </w:trPr>
        <w:tc>
          <w:tcPr>
            <w:tcW w:w="1753" w:type="dxa"/>
            <w:vMerge w:val="restart"/>
            <w:tcBorders>
              <w:top w:val="single" w:color="000000" w:sz="4" w:space="0"/>
              <w:left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学习效果</w:t>
            </w:r>
          </w:p>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w:t>
            </w:r>
          </w:p>
        </w:tc>
        <w:tc>
          <w:tcPr>
            <w:tcW w:w="1873" w:type="dxa"/>
            <w:tcBorders>
              <w:top w:val="single" w:color="000000" w:sz="4" w:space="0"/>
              <w:left w:val="single" w:color="000000" w:sz="4" w:space="0"/>
              <w:bottom w:val="single" w:color="auto"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学生评教</w:t>
            </w:r>
          </w:p>
        </w:tc>
        <w:tc>
          <w:tcPr>
            <w:tcW w:w="5222" w:type="dxa"/>
            <w:tcBorders>
              <w:top w:val="single" w:color="000000" w:sz="4" w:space="0"/>
              <w:left w:val="single" w:color="000000" w:sz="4" w:space="0"/>
              <w:bottom w:val="single" w:color="auto"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育人效果显著，学生对教师师德师风评价高，学习满意度高，学生评教结果优秀。</w:t>
            </w:r>
          </w:p>
        </w:tc>
      </w:tr>
      <w:tr>
        <w:tblPrEx>
          <w:tblCellMar>
            <w:top w:w="15" w:type="dxa"/>
            <w:left w:w="15" w:type="dxa"/>
            <w:bottom w:w="15" w:type="dxa"/>
            <w:right w:w="15" w:type="dxa"/>
          </w:tblCellMar>
        </w:tblPrEx>
        <w:trPr>
          <w:cantSplit/>
          <w:trHeight w:val="219" w:hRule="atLeast"/>
          <w:jc w:val="center"/>
        </w:trPr>
        <w:tc>
          <w:tcPr>
            <w:tcW w:w="1753" w:type="dxa"/>
            <w:vMerge w:val="continue"/>
            <w:tcBorders>
              <w:left w:val="single" w:color="000000" w:sz="4" w:space="0"/>
              <w:bottom w:val="single" w:color="000000" w:sz="4" w:space="0"/>
              <w:right w:val="single" w:color="000000" w:sz="4" w:space="0"/>
            </w:tcBorders>
            <w:noWrap w:val="0"/>
            <w:vAlign w:val="center"/>
          </w:tcPr>
          <w:p>
            <w:pPr>
              <w:widowControl/>
              <w:spacing w:line="440" w:lineRule="exact"/>
              <w:ind w:firstLine="840" w:firstLineChars="300"/>
              <w:textAlignment w:val="center"/>
              <w:rPr>
                <w:rFonts w:hint="eastAsia" w:ascii="仿宋_GB2312" w:hAnsi="仿宋_GB2312" w:eastAsia="仿宋_GB2312" w:cs="仿宋_GB2312"/>
                <w:kern w:val="0"/>
                <w:sz w:val="28"/>
                <w:szCs w:val="28"/>
                <w:lang w:bidi="ar"/>
              </w:rPr>
            </w:pPr>
          </w:p>
        </w:tc>
        <w:tc>
          <w:tcPr>
            <w:tcW w:w="1873" w:type="dxa"/>
            <w:tcBorders>
              <w:top w:val="single" w:color="auto"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同行评价</w:t>
            </w:r>
          </w:p>
        </w:tc>
        <w:tc>
          <w:tcPr>
            <w:tcW w:w="5222" w:type="dxa"/>
            <w:tcBorders>
              <w:top w:val="single" w:color="auto"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课程思政教学理念、方法、手段及实施效果显著，校内外同行专家评价良好。</w:t>
            </w:r>
          </w:p>
        </w:tc>
      </w:tr>
      <w:tr>
        <w:tblPrEx>
          <w:tblCellMar>
            <w:top w:w="15" w:type="dxa"/>
            <w:left w:w="15" w:type="dxa"/>
            <w:bottom w:w="15" w:type="dxa"/>
            <w:right w:w="15" w:type="dxa"/>
          </w:tblCellMar>
        </w:tblPrEx>
        <w:trPr>
          <w:cantSplit/>
          <w:trHeight w:val="813" w:hRule="atLeast"/>
          <w:jc w:val="center"/>
        </w:trPr>
        <w:tc>
          <w:tcPr>
            <w:tcW w:w="175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示范推广</w:t>
            </w:r>
          </w:p>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有效度</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示范效应</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形成可供同类课程借鉴共享的经验和模式，具有较好特色与优势，发挥了良好的示范辐射作用。</w:t>
            </w:r>
          </w:p>
        </w:tc>
      </w:tr>
      <w:tr>
        <w:tblPrEx>
          <w:tblCellMar>
            <w:top w:w="15" w:type="dxa"/>
            <w:left w:w="15" w:type="dxa"/>
            <w:bottom w:w="15" w:type="dxa"/>
            <w:right w:w="15" w:type="dxa"/>
          </w:tblCellMar>
        </w:tblPrEx>
        <w:trPr>
          <w:cantSplit/>
          <w:trHeight w:val="835" w:hRule="atLeast"/>
          <w:jc w:val="center"/>
        </w:trPr>
        <w:tc>
          <w:tcPr>
            <w:tcW w:w="17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_GB2312" w:hAnsi="仿宋_GB2312" w:eastAsia="仿宋_GB2312" w:cs="仿宋_GB2312"/>
                <w:sz w:val="28"/>
                <w:szCs w:val="28"/>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教学展示</w:t>
            </w:r>
          </w:p>
        </w:tc>
        <w:tc>
          <w:tcPr>
            <w:tcW w:w="5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授课教师在师德师风、教书育人、教学竞赛等方面获得荣誉或奖励，有较高水平的课程思政展示成果。</w:t>
            </w:r>
          </w:p>
        </w:tc>
      </w:tr>
    </w:tbl>
    <w:p>
      <w:pPr>
        <w:adjustRightInd w:val="0"/>
        <w:snapToGrid w:val="0"/>
        <w:spacing w:line="560" w:lineRule="exact"/>
        <w:rPr>
          <w:rFonts w:ascii="仿宋_GB2312" w:hAnsi="仿宋_GB2312" w:eastAsia="仿宋_GB2312" w:cs="仿宋_GB2312"/>
        </w:rPr>
      </w:pPr>
    </w:p>
    <w:p>
      <w:pPr>
        <w:adjustRightInd w:val="0"/>
        <w:snapToGrid w:val="0"/>
        <w:spacing w:line="560" w:lineRule="exact"/>
        <w:rPr>
          <w:rFonts w:hint="eastAsia" w:ascii="仿宋_GB2312" w:hAnsi="仿宋_GB2312" w:eastAsia="仿宋_GB2312" w:cs="仿宋_GB2312"/>
        </w:rPr>
      </w:pPr>
      <w:r>
        <w:rPr>
          <w:rFonts w:ascii="仿宋_GB2312" w:hAnsi="仿宋_GB2312" w:eastAsia="仿宋_GB2312" w:cs="仿宋_GB2312"/>
        </w:rPr>
        <w:br w:type="page"/>
      </w:r>
      <w:r>
        <w:rPr>
          <w:rFonts w:hint="eastAsia" w:ascii="黑体" w:hAnsi="黑体" w:eastAsia="黑体" w:cs="黑体"/>
        </w:rPr>
        <w:t>附件2</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福建省高校课程思政教学研究示范中心</w:t>
      </w:r>
    </w:p>
    <w:p>
      <w:pPr>
        <w:adjustRightInd w:val="0"/>
        <w:snapToGrid w:val="0"/>
        <w:spacing w:line="560" w:lineRule="exact"/>
        <w:jc w:val="center"/>
        <w:rPr>
          <w:rFonts w:hint="eastAsia" w:ascii="仿宋_GB2312" w:hAnsi="仿宋_GB2312" w:eastAsia="仿宋_GB2312" w:cs="仿宋_GB2312"/>
        </w:rPr>
      </w:pPr>
      <w:r>
        <w:rPr>
          <w:rFonts w:hint="eastAsia" w:ascii="方正小标宋简体" w:hAnsi="方正小标宋简体" w:eastAsia="方正小标宋简体" w:cs="方正小标宋简体"/>
          <w:sz w:val="44"/>
          <w:szCs w:val="44"/>
        </w:rPr>
        <w:t>建设标准</w:t>
      </w:r>
      <w:r>
        <w:rPr>
          <w:rFonts w:hint="eastAsia" w:ascii="楷体_GB2312" w:hAnsi="楷体_GB2312" w:eastAsia="楷体_GB2312" w:cs="楷体_GB2312"/>
          <w:sz w:val="28"/>
          <w:szCs w:val="56"/>
        </w:rPr>
        <w:t>（试行）</w:t>
      </w:r>
    </w:p>
    <w:tbl>
      <w:tblPr>
        <w:tblStyle w:val="5"/>
        <w:tblW w:w="9459" w:type="dxa"/>
        <w:jc w:val="center"/>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Layout w:type="fixed"/>
        <w:tblCellMar>
          <w:top w:w="0" w:type="dxa"/>
          <w:left w:w="0" w:type="dxa"/>
          <w:bottom w:w="0" w:type="dxa"/>
          <w:right w:w="0" w:type="dxa"/>
        </w:tblCellMar>
      </w:tblPr>
      <w:tblGrid>
        <w:gridCol w:w="1580"/>
        <w:gridCol w:w="1419"/>
        <w:gridCol w:w="6460"/>
      </w:tblGrid>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trHeight w:val="380" w:hRule="atLeast"/>
          <w:tblHeader/>
          <w:jc w:val="center"/>
        </w:trPr>
        <w:tc>
          <w:tcPr>
            <w:tcW w:w="1580" w:type="dxa"/>
            <w:tcBorders>
              <w:top w:val="outset" w:color="auto" w:sz="4" w:space="0"/>
              <w:left w:val="outset" w:color="auto" w:sz="4" w:space="0"/>
              <w:bottom w:val="single"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textAlignment w:val="center"/>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一级指标</w:t>
            </w:r>
          </w:p>
        </w:tc>
        <w:tc>
          <w:tcPr>
            <w:tcW w:w="1419" w:type="dxa"/>
            <w:tcBorders>
              <w:top w:val="outset" w:color="auto" w:sz="4" w:space="0"/>
              <w:left w:val="single" w:color="0100FE" w:sz="0" w:space="0"/>
              <w:bottom w:val="single" w:color="auto" w:sz="4" w:space="0"/>
              <w:right w:val="single" w:color="auto" w:sz="4" w:space="0"/>
            </w:tcBorders>
            <w:noWrap w:val="0"/>
            <w:tcMar>
              <w:top w:w="80" w:type="dxa"/>
              <w:left w:w="80" w:type="dxa"/>
              <w:bottom w:w="80" w:type="dxa"/>
              <w:right w:w="80" w:type="dxa"/>
            </w:tcMar>
            <w:vAlign w:val="center"/>
          </w:tcPr>
          <w:p>
            <w:pPr>
              <w:widowControl/>
              <w:spacing w:line="440" w:lineRule="exact"/>
              <w:jc w:val="center"/>
              <w:textAlignment w:val="center"/>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二级指标</w:t>
            </w:r>
          </w:p>
        </w:tc>
        <w:tc>
          <w:tcPr>
            <w:tcW w:w="6460" w:type="dxa"/>
            <w:tcBorders>
              <w:top w:val="outset" w:color="auto" w:sz="4" w:space="0"/>
              <w:left w:val="outset" w:color="auto" w:sz="4" w:space="0"/>
              <w:bottom w:val="single"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textAlignment w:val="center"/>
              <w:rPr>
                <w:rFonts w:hint="eastAsia" w:ascii="仿宋_GB2312" w:hAnsi="仿宋_GB2312" w:eastAsia="仿宋_GB2312" w:cs="仿宋_GB2312"/>
                <w:b/>
                <w:bCs/>
                <w:kern w:val="0"/>
                <w:sz w:val="28"/>
                <w:szCs w:val="28"/>
                <w:lang w:bidi="ar"/>
              </w:rPr>
            </w:pPr>
            <w:r>
              <w:rPr>
                <w:rFonts w:hint="eastAsia" w:ascii="仿宋_GB2312" w:hAnsi="仿宋_GB2312" w:eastAsia="仿宋_GB2312" w:cs="仿宋_GB2312"/>
                <w:b/>
                <w:bCs/>
                <w:kern w:val="0"/>
                <w:sz w:val="28"/>
                <w:szCs w:val="28"/>
                <w:lang w:bidi="ar"/>
              </w:rPr>
              <w:t>指标内涵</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trHeight w:val="956" w:hRule="atLeast"/>
          <w:jc w:val="center"/>
        </w:trPr>
        <w:tc>
          <w:tcPr>
            <w:tcW w:w="1580" w:type="dxa"/>
            <w:vMerge w:val="restart"/>
            <w:tcBorders>
              <w:top w:val="outset" w:color="auto" w:sz="4"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建设规划</w:t>
            </w:r>
          </w:p>
        </w:tc>
        <w:tc>
          <w:tcPr>
            <w:tcW w:w="1419" w:type="dxa"/>
            <w:tcBorders>
              <w:top w:val="outset" w:color="auto" w:sz="4" w:space="0"/>
              <w:left w:val="single" w:color="0100FE" w:sz="0" w:space="0"/>
              <w:bottom w:val="outset" w:color="auto" w:sz="4" w:space="0"/>
              <w:right w:val="single"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发展定位</w:t>
            </w:r>
          </w:p>
        </w:tc>
        <w:tc>
          <w:tcPr>
            <w:tcW w:w="6460" w:type="dxa"/>
            <w:tcBorders>
              <w:top w:val="outset" w:color="auto" w:sz="4"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聚焦课程思政教学实践和理论研究，发展定位准确，育人理念先进。</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trHeight w:val="460" w:hRule="atLeast"/>
          <w:jc w:val="center"/>
        </w:trPr>
        <w:tc>
          <w:tcPr>
            <w:tcW w:w="1580" w:type="dxa"/>
            <w:vMerge w:val="continue"/>
            <w:tcBorders>
              <w:top w:val="outset" w:color="auto" w:sz="4"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single"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工作规划</w:t>
            </w:r>
          </w:p>
        </w:tc>
        <w:tc>
          <w:tcPr>
            <w:tcW w:w="6460" w:type="dxa"/>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工作规划清晰，任务职责明确，运行机制完备，建设特色鲜明。</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restart"/>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w:t>
            </w: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机构设置</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学校领导重视教学研究中心建设，有独立办公场所，专职工作人员，组织架构健全、分工明确。</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continue"/>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人员配备</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心负责人政治立场坚定，师德师风良好，对如何结合本校办学定位和专业特色开展课程思政建设有深刻理解，具有丰富的课程思政建设实践经验和理论研究成果。中心人员配备科学合理，具有相应的课程思政建设实践经验和理论研究基础。</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restart"/>
            <w:tcBorders>
              <w:top w:val="single" w:color="0100FE" w:sz="0" w:space="0"/>
              <w:left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主要任务</w:t>
            </w: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课程教研</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积极探索创新课程思政建设方法路径，形成具有推广价值的经验做法和高质量的研究成果，能够有效指导和有力推进学校、院系、教师不同层面的课程思政建设，并在校内外形成示范辐射效应。</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continue"/>
            <w:tcBorders>
              <w:left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课程指导</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支持指导不同学科专业、不同类型课程、立足专业特色和课程育人特点开展课程思政建设，建成一批课程思政优质资源，建有宣传展示数字化平台，并开展推广共享。</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continue"/>
            <w:tcBorders>
              <w:left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教师培训</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科学设置课程思政培训内容，实施全员培训制度，开展全方位、多样化、针对性的教师交流、观摩和培训活动，汇聚专业课和思政课教师合力，积极推动教师课程思政建设能力整体提高。</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continue"/>
            <w:tcBorders>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课程评价</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探索建立课程思政建设质量评价体系和激励机制，推动学校将课程思政建设成效纳入院系、教师的绩效考核内容，不断提高教师开展课程思政建设的积极性主动性。</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trHeight w:val="852" w:hRule="atLeast"/>
          <w:jc w:val="center"/>
        </w:trPr>
        <w:tc>
          <w:tcPr>
            <w:tcW w:w="1580" w:type="dxa"/>
            <w:vMerge w:val="restart"/>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保障条件</w:t>
            </w: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经费投入</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中心经费纳入学校预算体系，多渠道筹集教师培养培训经费，保证教师能够参加岗前培训、课程培训、实践研修、学术交流等。</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trHeight w:val="828" w:hRule="atLeast"/>
          <w:jc w:val="center"/>
        </w:trPr>
        <w:tc>
          <w:tcPr>
            <w:tcW w:w="1580" w:type="dxa"/>
            <w:vMerge w:val="continue"/>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硬件设备</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示范中心有专用的办公和教学研究场所，有满足教研需要的现代化教学设备。</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trHeight w:val="852" w:hRule="atLeast"/>
          <w:jc w:val="center"/>
        </w:trPr>
        <w:tc>
          <w:tcPr>
            <w:tcW w:w="1580" w:type="dxa"/>
            <w:vMerge w:val="continue"/>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专职师资</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专职队伍学科背景以马克思主义理论、教育学、心理学、政治学、教育技术学等学科为主，实践经验丰富。</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trHeight w:val="550" w:hRule="atLeast"/>
          <w:jc w:val="center"/>
        </w:trPr>
        <w:tc>
          <w:tcPr>
            <w:tcW w:w="1580" w:type="dxa"/>
            <w:vMerge w:val="continue"/>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兼职队伍</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鼓励支持院士、长江学者杰青、省级以上教学名师等与思政课教师组成的教研团队，协助开展课程思政教学研究工作。</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restart"/>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建设成效</w:t>
            </w: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中心建设</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探索具有本校特色的中心建设模式，实现研究中心运行机制和工作方式的科学化、规范化，加强中心管理人员培训学习。</w:t>
            </w:r>
          </w:p>
        </w:tc>
      </w:tr>
      <w:tr>
        <w:tblPrEx>
          <w:tblBorders>
            <w:top w:val="single" w:color="A0A0A0" w:sz="4" w:space="0"/>
            <w:left w:val="single" w:color="A0A0A0" w:sz="4" w:space="0"/>
            <w:bottom w:val="single" w:color="A0A0A0" w:sz="4" w:space="0"/>
            <w:right w:val="single" w:color="A0A0A0" w:sz="4" w:space="0"/>
            <w:insideH w:val="outset" w:color="DDDDDD" w:sz="6" w:space="0"/>
            <w:insideV w:val="outset" w:color="DDDDDD" w:sz="6" w:space="0"/>
          </w:tblBorders>
          <w:tblCellMar>
            <w:top w:w="0" w:type="dxa"/>
            <w:left w:w="0" w:type="dxa"/>
            <w:bottom w:w="0" w:type="dxa"/>
            <w:right w:w="0" w:type="dxa"/>
          </w:tblCellMar>
        </w:tblPrEx>
        <w:trPr>
          <w:cantSplit/>
          <w:jc w:val="center"/>
        </w:trPr>
        <w:tc>
          <w:tcPr>
            <w:tcW w:w="1580" w:type="dxa"/>
            <w:vMerge w:val="continue"/>
            <w:tcBorders>
              <w:top w:val="single" w:color="0100FE" w:sz="0" w:space="0"/>
              <w:left w:val="outset" w:color="auto" w:sz="4" w:space="0"/>
              <w:bottom w:val="outset" w:color="auto" w:sz="4" w:space="0"/>
              <w:right w:val="outset" w:color="auto" w:sz="4" w:space="0"/>
            </w:tcBorders>
            <w:noWrap w:val="0"/>
            <w:tcMar>
              <w:top w:w="80" w:type="dxa"/>
              <w:left w:w="80" w:type="dxa"/>
              <w:bottom w:w="80" w:type="dxa"/>
              <w:right w:w="80" w:type="dxa"/>
            </w:tcMar>
            <w:vAlign w:val="center"/>
          </w:tcPr>
          <w:p>
            <w:pPr>
              <w:widowControl/>
              <w:spacing w:line="440" w:lineRule="exact"/>
              <w:jc w:val="center"/>
              <w:rPr>
                <w:rFonts w:hint="eastAsia" w:ascii="仿宋_GB2312" w:hAnsi="仿宋_GB2312" w:eastAsia="仿宋_GB2312" w:cs="仿宋_GB2312"/>
                <w:sz w:val="28"/>
                <w:szCs w:val="28"/>
              </w:rPr>
            </w:pPr>
          </w:p>
        </w:tc>
        <w:tc>
          <w:tcPr>
            <w:tcW w:w="1419"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影响效果</w:t>
            </w:r>
          </w:p>
        </w:tc>
        <w:tc>
          <w:tcPr>
            <w:tcW w:w="6460" w:type="dxa"/>
            <w:tcBorders>
              <w:top w:val="single" w:color="0100FE" w:sz="0" w:space="0"/>
              <w:left w:val="single" w:color="0100FE" w:sz="0" w:space="0"/>
              <w:bottom w:val="outset" w:color="auto" w:sz="4" w:space="0"/>
              <w:right w:val="outset" w:color="auto" w:sz="4" w:space="0"/>
            </w:tcBorders>
            <w:noWrap w:val="0"/>
            <w:tcMar>
              <w:top w:w="80" w:type="dxa"/>
              <w:left w:w="80" w:type="dxa"/>
              <w:bottom w:w="80" w:type="dxa"/>
              <w:right w:w="80" w:type="dxa"/>
            </w:tcMar>
            <w:vAlign w:val="center"/>
          </w:tcPr>
          <w:p>
            <w:pPr>
              <w:pStyle w:val="4"/>
              <w:spacing w:before="0" w:beforeAutospacing="0" w:after="0" w:afterAutospacing="0"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研究中心每年推出有一批优质课程思政样板课程，并有标志性成果。每年为省内高校提供师资培训、共享资源平台，并开放线上精品</w:t>
            </w:r>
            <w:r>
              <w:rPr>
                <w:rFonts w:hint="eastAsia" w:ascii="仿宋_GB2312" w:hAnsi="仿宋_GB2312" w:eastAsia="仿宋_GB2312" w:cs="仿宋_GB2312"/>
                <w:sz w:val="28"/>
                <w:szCs w:val="28"/>
                <w:lang w:eastAsia="zh-CN"/>
              </w:rPr>
              <w:t>课程</w:t>
            </w:r>
            <w:r>
              <w:rPr>
                <w:rFonts w:hint="eastAsia" w:ascii="仿宋_GB2312" w:hAnsi="仿宋_GB2312" w:eastAsia="仿宋_GB2312" w:cs="仿宋_GB2312"/>
                <w:sz w:val="28"/>
                <w:szCs w:val="28"/>
              </w:rPr>
              <w:t>思政课。与省内外课程思政教学研究中心，开展区域性协作。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ZWY2YTYxMzE3ZGZhMmQxYmIwNjM3Y2YzNGRjOGEifQ=="/>
  </w:docVars>
  <w:rsids>
    <w:rsidRoot w:val="00000000"/>
    <w:rsid w:val="03E12748"/>
    <w:rsid w:val="0A8D3D36"/>
    <w:rsid w:val="130059ED"/>
    <w:rsid w:val="187F5606"/>
    <w:rsid w:val="2949345C"/>
    <w:rsid w:val="3FA42C56"/>
    <w:rsid w:val="5108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5429</Words>
  <Characters>5445</Characters>
  <Lines>0</Lines>
  <Paragraphs>0</Paragraphs>
  <TotalTime>4</TotalTime>
  <ScaleCrop>false</ScaleCrop>
  <LinksUpToDate>false</LinksUpToDate>
  <CharactersWithSpaces>5505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haier</dc:creator>
  <cp:lastModifiedBy>张倩倩</cp:lastModifiedBy>
  <dcterms:modified xsi:type="dcterms:W3CDTF">2023-08-29T01:56:00Z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426A8F96681D497A9E33E963EC730CBA_12</vt:lpwstr>
  </property>
</Properties>
</file>