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黑体" w:hAnsi="黑体" w:eastAsia="黑体" w:cs="黑体"/>
          <w:b/>
          <w:bCs/>
          <w:spacing w:val="9"/>
          <w:sz w:val="32"/>
          <w:szCs w:val="32"/>
          <w:lang w:val="en-US" w:eastAsia="zh-CN"/>
        </w:rPr>
      </w:pPr>
      <w:bookmarkStart w:id="0" w:name="_Toc31383"/>
      <w:bookmarkStart w:id="1" w:name="_Toc7902"/>
      <w:bookmarkStart w:id="2" w:name="_Toc10414_WPSOffice_Level1"/>
      <w:bookmarkStart w:id="3" w:name="_Toc1025"/>
      <w:bookmarkStart w:id="4" w:name="_Toc28043"/>
      <w:bookmarkStart w:id="5" w:name="_Toc365"/>
      <w:bookmarkStart w:id="6" w:name="_Toc4566"/>
      <w:bookmarkStart w:id="7" w:name="_Toc5106"/>
      <w:bookmarkStart w:id="8" w:name="_Toc31769"/>
      <w:bookmarkStart w:id="9" w:name="_Toc10191"/>
      <w:bookmarkStart w:id="10" w:name="_Toc17466"/>
      <w:bookmarkStart w:id="11" w:name="_Toc19134"/>
      <w:bookmarkStart w:id="12" w:name="_Toc9677"/>
      <w:bookmarkStart w:id="13" w:name="_Toc18142"/>
      <w:bookmarkStart w:id="14" w:name="_Toc30331"/>
      <w:bookmarkStart w:id="15" w:name="_Toc2518"/>
      <w:bookmarkStart w:id="16" w:name="_Toc29024"/>
      <w:bookmarkStart w:id="17" w:name="_Toc25040"/>
      <w:bookmarkStart w:id="18" w:name="_Toc25522"/>
      <w:bookmarkStart w:id="19" w:name="_Toc28356"/>
      <w:bookmarkStart w:id="20" w:name="_Toc22267"/>
      <w:bookmarkStart w:id="21" w:name="_Toc15896"/>
      <w:bookmarkStart w:id="22" w:name="_Toc20350"/>
      <w:bookmarkStart w:id="23" w:name="_Toc27039"/>
      <w:bookmarkStart w:id="24" w:name="_Toc945"/>
      <w:r>
        <w:rPr>
          <w:rFonts w:hint="eastAsia" w:ascii="黑体" w:hAnsi="黑体" w:eastAsia="黑体" w:cs="黑体"/>
          <w:b/>
          <w:bCs/>
          <w:spacing w:val="9"/>
          <w:sz w:val="32"/>
          <w:szCs w:val="32"/>
          <w:lang w:val="en-US" w:eastAsia="zh-CN"/>
        </w:rPr>
        <w:t>附件5：</w:t>
      </w:r>
    </w:p>
    <w:p>
      <w:pPr>
        <w:pStyle w:val="2"/>
        <w:spacing w:before="140" w:line="219" w:lineRule="auto"/>
        <w:jc w:val="center"/>
        <w:rPr>
          <w:rFonts w:hint="eastAsia"/>
          <w:b/>
          <w:bCs/>
          <w:sz w:val="44"/>
          <w:szCs w:val="44"/>
          <w:lang w:val="en-US" w:eastAsia="en-US"/>
        </w:rPr>
      </w:pPr>
      <w:r>
        <w:rPr>
          <w:rFonts w:hint="eastAsia"/>
          <w:b/>
          <w:bCs/>
          <w:sz w:val="44"/>
          <w:szCs w:val="44"/>
          <w:lang w:val="en-US" w:eastAsia="en-US"/>
        </w:rPr>
        <w:t>福州英华职业学院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Start w:id="25" w:name="_Toc19898"/>
      <w:bookmarkStart w:id="26" w:name="_Toc95"/>
      <w:bookmarkStart w:id="27" w:name="_Toc27460"/>
      <w:bookmarkStart w:id="28" w:name="_Toc26182"/>
      <w:bookmarkStart w:id="29" w:name="_Toc31247"/>
      <w:bookmarkStart w:id="30" w:name="_Toc4217"/>
      <w:bookmarkStart w:id="31" w:name="_Toc2410"/>
      <w:bookmarkStart w:id="32" w:name="_Toc5222"/>
      <w:bookmarkStart w:id="33" w:name="_Toc21030"/>
      <w:bookmarkStart w:id="34" w:name="_Toc7300"/>
      <w:bookmarkStart w:id="35" w:name="_Toc22538"/>
      <w:bookmarkStart w:id="36" w:name="_Toc13454"/>
      <w:bookmarkStart w:id="37" w:name="_Toc12773"/>
      <w:bookmarkStart w:id="38" w:name="_Toc3983"/>
      <w:bookmarkStart w:id="39" w:name="_Toc18136"/>
      <w:bookmarkStart w:id="40" w:name="_Toc4654"/>
      <w:bookmarkStart w:id="41" w:name="_Toc31022"/>
      <w:bookmarkStart w:id="42" w:name="_Toc17566"/>
      <w:bookmarkStart w:id="43" w:name="_Toc25345"/>
      <w:bookmarkStart w:id="44" w:name="_Toc30330"/>
      <w:bookmarkStart w:id="45" w:name="_Toc2946_WPSOffice_Level1"/>
      <w:bookmarkStart w:id="46" w:name="_Toc19613"/>
      <w:bookmarkStart w:id="47" w:name="_Toc5077"/>
      <w:bookmarkStart w:id="48" w:name="_Toc22462"/>
      <w:bookmarkStart w:id="49" w:name="_Toc26976"/>
      <w:r>
        <w:rPr>
          <w:rFonts w:hint="eastAsia"/>
          <w:b/>
          <w:bCs/>
          <w:sz w:val="44"/>
          <w:szCs w:val="44"/>
          <w:lang w:val="en-US" w:eastAsia="en-US"/>
        </w:rPr>
        <w:t>“优秀学生奖学金”评定办法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第一条</w:t>
      </w:r>
      <w:r>
        <w:rPr>
          <w:rFonts w:hint="eastAsia" w:ascii="仿宋" w:hAnsi="仿宋" w:eastAsia="仿宋" w:cs="仿宋"/>
          <w:sz w:val="32"/>
          <w:szCs w:val="32"/>
        </w:rPr>
        <w:t xml:space="preserve">  为鼓励我院学生在校期间刻苦学习，奋发向上，促进学生德、智、体、美、劳全面发展，根据上级有关文件精神，结合我院实际情况，特制定本办法。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第二条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本办法适用于我院全日制在校学生。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第三条</w:t>
      </w:r>
      <w:r>
        <w:rPr>
          <w:rFonts w:hint="eastAsia" w:ascii="仿宋" w:hAnsi="仿宋" w:eastAsia="仿宋" w:cs="仿宋"/>
          <w:sz w:val="32"/>
          <w:szCs w:val="32"/>
        </w:rPr>
        <w:t xml:space="preserve">  优秀学生奖学金的基本条件：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1、热心为同学服务，严于律己，勇于开展批评与自我批评，在各方面起带头作用。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2、工作积极主动，富有开拓精神，具有较强的组织管理能力，在自己负责的工作岗位上做出显著成绩，积极参加院、系党团活动。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3、学习态度端正，成绩良好，近一个学年期末考试没有补考。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4、学年操行成绩为“优”：该学年没有受到处分。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5、大二学生的“英华斋”素质提升计划累计不低于6分。大三学生实习实践表现突出，学生干部包括：院团委·学生会副部长以上干部；班级担任主要学生干部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0" w:name="_Toc10425"/>
      <w:r>
        <w:rPr>
          <w:rFonts w:hint="eastAsia" w:ascii="楷体" w:hAnsi="楷体" w:eastAsia="楷体" w:cs="楷体"/>
          <w:b/>
          <w:bCs/>
          <w:sz w:val="32"/>
          <w:szCs w:val="32"/>
        </w:rPr>
        <w:t>第四条</w:t>
      </w:r>
      <w:r>
        <w:rPr>
          <w:rFonts w:hint="eastAsia" w:ascii="仿宋" w:hAnsi="仿宋" w:eastAsia="仿宋" w:cs="仿宋"/>
          <w:sz w:val="32"/>
          <w:szCs w:val="32"/>
        </w:rPr>
        <w:t xml:space="preserve">  奖学金等级与金额：</w:t>
      </w:r>
      <w:bookmarkEnd w:id="5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优秀学生奖学金设一、二、三等奖；奖学金分别为：一等奖1200元，二等奖800元，三等奖500元。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1" w:name="_Toc13747"/>
      <w:r>
        <w:rPr>
          <w:rFonts w:hint="eastAsia" w:ascii="楷体" w:hAnsi="楷体" w:eastAsia="楷体" w:cs="楷体"/>
          <w:b/>
          <w:bCs/>
          <w:sz w:val="32"/>
          <w:szCs w:val="32"/>
        </w:rPr>
        <w:t>第五条</w:t>
      </w:r>
      <w:r>
        <w:rPr>
          <w:rFonts w:hint="eastAsia" w:ascii="仿宋" w:hAnsi="仿宋" w:eastAsia="仿宋" w:cs="仿宋"/>
          <w:sz w:val="32"/>
          <w:szCs w:val="32"/>
        </w:rPr>
        <w:t xml:space="preserve">  评定办法</w:t>
      </w:r>
      <w:bookmarkEnd w:id="5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1、奖学金每学年评定一次，新生入学后。从第二学年起，于每学年初根据上学年的成绩，评定本学年的奖学金，按学年一次性颁发。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2、优秀学生奖学金的评定以本学年综合测评成绩为主要依据。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有以下情况之一者不能参加奖学金的评定：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2" w:name="_Toc5693_WPSOffice_Level1"/>
      <w:r>
        <w:rPr>
          <w:rFonts w:hint="eastAsia" w:ascii="仿宋" w:hAnsi="仿宋" w:eastAsia="仿宋" w:cs="仿宋"/>
          <w:sz w:val="32"/>
          <w:szCs w:val="32"/>
        </w:rPr>
        <w:t>（1）留校察看期间或在本学年内受纪律处分者；</w:t>
      </w:r>
      <w:bookmarkEnd w:id="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3" w:name="_Toc7445_WPSOffice_Level1"/>
      <w:r>
        <w:rPr>
          <w:rFonts w:hint="eastAsia" w:ascii="仿宋" w:hAnsi="仿宋" w:eastAsia="仿宋" w:cs="仿宋"/>
          <w:sz w:val="32"/>
          <w:szCs w:val="32"/>
        </w:rPr>
        <w:t>（2）本学年所修课程（含选修课程）期末成绩有不及格者；</w:t>
      </w:r>
      <w:bookmarkEnd w:id="5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4" w:name="_Toc4456_WPSOffice_Level1"/>
      <w:r>
        <w:rPr>
          <w:rFonts w:hint="eastAsia" w:ascii="仿宋" w:hAnsi="仿宋" w:eastAsia="仿宋" w:cs="仿宋"/>
          <w:sz w:val="32"/>
          <w:szCs w:val="32"/>
        </w:rPr>
        <w:t>（3）本学年及以前欠缴（全部或部分）学杂费、住宿费等者。</w:t>
      </w:r>
      <w:bookmarkEnd w:id="5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3、获得奖学金人数不超过同年级同专业总人数的9%，其中一等奖不超过1%，一、二等奖总和不超过4%。各专业计算获奖人数时若出现非整数a，则取［a+1］（取整）。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5" w:name="_Toc13397"/>
      <w:r>
        <w:rPr>
          <w:rFonts w:hint="eastAsia" w:ascii="楷体" w:hAnsi="楷体" w:eastAsia="楷体" w:cs="楷体"/>
          <w:b/>
          <w:bCs/>
          <w:sz w:val="32"/>
          <w:szCs w:val="32"/>
        </w:rPr>
        <w:t>第六条</w:t>
      </w:r>
      <w:r>
        <w:rPr>
          <w:rFonts w:hint="eastAsia" w:ascii="仿宋" w:hAnsi="仿宋" w:eastAsia="仿宋" w:cs="仿宋"/>
          <w:sz w:val="32"/>
          <w:szCs w:val="32"/>
        </w:rPr>
        <w:t xml:space="preserve">  等级划分</w:t>
      </w:r>
      <w:bookmarkEnd w:id="5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一等奖学金：综合测评成绩在85分以上；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二等奖学金：综合测评成绩在80分以上；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三等奖学金：综合测评成绩在75分以上。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6" w:name="_Toc6642"/>
      <w:r>
        <w:rPr>
          <w:rFonts w:hint="eastAsia" w:ascii="楷体" w:hAnsi="楷体" w:eastAsia="楷体" w:cs="楷体"/>
          <w:b/>
          <w:bCs/>
          <w:sz w:val="32"/>
          <w:szCs w:val="32"/>
        </w:rPr>
        <w:t>第七条</w:t>
      </w:r>
      <w:r>
        <w:rPr>
          <w:rFonts w:hint="eastAsia" w:ascii="仿宋" w:hAnsi="仿宋" w:eastAsia="仿宋" w:cs="仿宋"/>
          <w:sz w:val="32"/>
          <w:szCs w:val="32"/>
        </w:rPr>
        <w:t xml:space="preserve">  评定组织机构</w:t>
      </w:r>
      <w:bookmarkEnd w:id="5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学院成立优秀学生奖学金评定小组。评定小组由院领导、学工处、教务处、系部负责人组成，分管学生工作的院领导任组长，负责优秀学生奖学金的审定工作。具体评定工作由院学生工作处组织实施。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7" w:name="_Toc3582"/>
      <w:r>
        <w:rPr>
          <w:rFonts w:hint="eastAsia" w:ascii="楷体" w:hAnsi="楷体" w:eastAsia="楷体" w:cs="楷体"/>
          <w:b/>
          <w:bCs/>
          <w:sz w:val="32"/>
          <w:szCs w:val="32"/>
        </w:rPr>
        <w:t>第八条</w:t>
      </w:r>
      <w:r>
        <w:rPr>
          <w:rFonts w:hint="eastAsia" w:ascii="仿宋" w:hAnsi="仿宋" w:eastAsia="仿宋" w:cs="仿宋"/>
          <w:sz w:val="32"/>
          <w:szCs w:val="32"/>
        </w:rPr>
        <w:t xml:space="preserve">  申请流程</w:t>
      </w:r>
      <w:bookmarkEnd w:id="5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1、评定的具体程序为个人申请、班级推荐、辅导员签署意见、各系签署审核、学生处审核、院领导审批。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2、获奖名单在全院范围内进行公示。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第九条</w:t>
      </w:r>
      <w:r>
        <w:rPr>
          <w:rFonts w:hint="eastAsia" w:ascii="仿宋" w:hAnsi="仿宋" w:eastAsia="仿宋" w:cs="仿宋"/>
          <w:sz w:val="32"/>
          <w:szCs w:val="32"/>
        </w:rPr>
        <w:t xml:space="preserve">  本条例由优秀学生奖学金评定小组负责解释。本条例在实行过程中，如遇具体问题，得根据实际情况，由评定小组研究修改或修订临时性实施意见予以解决。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58" w:name="_Toc9947"/>
      <w:r>
        <w:rPr>
          <w:rFonts w:hint="eastAsia" w:ascii="楷体" w:hAnsi="楷体" w:eastAsia="楷体" w:cs="楷体"/>
          <w:b/>
          <w:bCs/>
          <w:sz w:val="32"/>
          <w:szCs w:val="32"/>
        </w:rPr>
        <w:t>第十条</w:t>
      </w:r>
      <w:r>
        <w:rPr>
          <w:rFonts w:hint="eastAsia" w:ascii="仿宋" w:hAnsi="仿宋" w:eastAsia="仿宋" w:cs="仿宋"/>
          <w:sz w:val="32"/>
          <w:szCs w:val="32"/>
        </w:rPr>
        <w:t xml:space="preserve">  本办法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仿宋"/>
          <w:sz w:val="32"/>
          <w:szCs w:val="32"/>
        </w:rPr>
        <w:t>二○一九年秋季开始执行。</w:t>
      </w:r>
      <w:bookmarkEnd w:id="58"/>
    </w:p>
    <w:p>
      <w:bookmarkStart w:id="59" w:name="_GoBack"/>
      <w:bookmarkEnd w:id="5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3A9D1A33"/>
    <w:rsid w:val="3A9D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2024-06-21T03:41:00Z</dcterms:created>
  <dc:creator>N.</dc:creator>
  <cp:lastModifiedBy>N.</cp:lastModifiedBy>
  <dcterms:modified xsi:type="dcterms:W3CDTF">2024-06-21T03:41:37Z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B3CEE2B8278D48849FC556552CD8957E_11</vt:lpwstr>
  </property>
</Properties>
</file>