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Hans"/>
        </w:rPr>
        <w:t>福州英华职业学院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学生学业预警及帮扶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机制实施办法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Hans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color w:val="auto"/>
          <w:sz w:val="28"/>
          <w:szCs w:val="28"/>
        </w:rPr>
        <w:t xml:space="preserve">    </w:t>
      </w:r>
      <w:bookmarkStart w:id="0" w:name="_GoBack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第一条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为进一步加强学校学风建设，强化学生学习过程管理，充分发挥学校的主导作用、学生的主体作用、家庭的督促作用，帮助学生顺利完成学业，确保人才培养质量，根据《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福州英华职业学院学生学籍管理规定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有关要求，结合学校实际，特制定本办法。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第二条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学业预警是指学校依据学籍管理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规定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、专业人才培养方案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等要求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，通过对学生每学期的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出勤及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学习情况进行分析，对可能或已经发生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缺勤及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学习问题、或完成学业困难的学生进行警示，告知学生本人及家长可能产生的不良后果，并针对性地采取相应补救和帮扶措施，帮助学生顺利完成学业的一种制度。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第三条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学业预警分为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级，预警程度由低到高依次为：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级预警、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级预警、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级预警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一级预警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。学业预警工作按学期进行，每学期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第2周由各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根据在读学生学业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和出勤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情况，采取相应预警办法。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四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级预警：学生上一学期实修学分不足该学期应修总学分的四分之三时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；当学期学生累计旷课节数≥8节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级预警：学生上一学期实修学分不足该学期应修总学分的三分之二时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；当学期学生累计旷课节数≥16节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三级、四级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预警办法：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各系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给学生下达学业预警通知，通知家长，对学生进行警示教育；指导学生制定有关课程学习计划；对计划执行情况进行跟踪、评估，并向家长反馈。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二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级预警：学生上一学期实修学分不足该学期应修总学分的二分之一时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；当学期学生累计旷课节数≥24节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一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级预警：学生上一学期实修学分不足该学期应修总学分的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分之一时；当学期学生累计旷课节数≥32节。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一级、二级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预警办法：各系给学生下达学业预警通知，系通知家长面谈，对学生进行警示教育；指导学生制定有关课程学习计划；对计划执行情况进行跟踪、评估，并向家长反馈。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第四条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当学生实修学分不足达到一定数量时，学校除了采取学业预警外，将按照《福州英华职业学院学生学籍管理规定（修订）》进行试读、留级直至退学等方式处理。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五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学校成立由教务处牵头、学生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工作部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等组成的工作组，负责全校学业预警工作的组织、协调、检查、督促。各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成立由分管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教学副主任为组长的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工作小组，具体负责本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学业预警工作。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六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学业预警工作程序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1.每学期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第2周前，各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启动学业预警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（上学期成绩）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2.第2-4周，各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将《福州英华职业学院学生学业预警通知单》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（附件1）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，加盖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公章后，送至被预警学生本人签收，并将学生学业情况通知学生家长。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3.第5周，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各系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填写《福州英华职业学院学生学业预警处理结果汇总表》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（附件2）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，经分管教学工作的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系副主任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审核签字并加盖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公章后，报教务处备案。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4. 当学期旷课预警时间不作具体规定，根据每月统计学生考勤情况，一旦学生出现符合旷课预警条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件的情况时，应及时预警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，下达预警通知单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七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学业帮扶机制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（一）学业帮扶机制是指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采取针对性措施对被预警学生的学业情况进行全面分析、指导以及帮扶的制度。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（二）学业帮扶措施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各系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成立由分管教学工作的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系副主任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任组长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，学生党支部书记、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辅导员等为组员的学业帮扶工作小组，全面负责对本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预警学生进行学业帮扶。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学业帮扶工作小组各成员应分工明确、密切配合。采取有效的针对性措施，及时约谈被预警学生，认真分析其学业落后的具体原因，与学生共同制定学业提升计划。被预警学生的辅导员须采取多种形式与学生保持沟通和交流，及时掌握学生学习、生活及心理活动。在学生遇到困难时，学业帮扶工作小组成员应及时与学生沟通，为学生提供必要的指导和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各系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须建立学业预警学生帮扶档案，详细记录帮扶的全过程，并将《福州英华职业学院学生学业预警通知单》、每次约谈的《福州英华职业学院学生学业预警帮扶谈话记录表》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（附件3）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、学生成绩单等相关资料存入被预警学生帮扶档案中。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4.学校将不定期对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各系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的学业帮扶工作情况进行监督和检查。对学业帮扶记录不完整、帮扶措施不到位、帮扶效果不理想的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给予指正，并限期整改。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八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本办法适用于学校普通全日制学生。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九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本办法自发布之日起施行，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>《福州英华职业学院学生出勤及学习成绩预警制度（试行）》（英华教学〔 2016 〕6 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Hans"/>
        </w:rPr>
        <w:t>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Hans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Hans"/>
        </w:rPr>
        <w:t xml:space="preserve">  本办法由教务处负责解释。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1．福州英华职业学院学生学业预警通知单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2．福州英华职业学院学生学业预警处理结果汇总表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3．福州英华职业学院学生学业预警帮扶谈话记录表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textAlignment w:val="auto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  <w:bookmarkEnd w:id="0"/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  <w:t>福州英华职业学院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学生学业预警通知单</w:t>
      </w:r>
    </w:p>
    <w:tbl>
      <w:tblPr>
        <w:tblStyle w:val="3"/>
        <w:tblW w:w="10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9"/>
        <w:gridCol w:w="1293"/>
        <w:gridCol w:w="224"/>
        <w:gridCol w:w="931"/>
        <w:gridCol w:w="874"/>
        <w:gridCol w:w="1657"/>
        <w:gridCol w:w="532"/>
        <w:gridCol w:w="843"/>
        <w:gridCol w:w="754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学号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年级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专业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预警学期</w:t>
            </w:r>
          </w:p>
        </w:tc>
        <w:tc>
          <w:tcPr>
            <w:tcW w:w="8851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-20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学年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第</w:t>
            </w:r>
            <w:r>
              <w:rPr>
                <w:rFonts w:ascii="宋体" w:hAnsi="宋体" w:eastAsia="宋体" w:cs="宋体"/>
                <w:bCs/>
                <w:color w:val="auto"/>
                <w:szCs w:val="21"/>
                <w:u w:val="single"/>
                <w:lang w:eastAsia="zh-Hans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2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上学期应修学分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上学期实修学分</w:t>
            </w:r>
          </w:p>
        </w:tc>
        <w:tc>
          <w:tcPr>
            <w:tcW w:w="165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</w:p>
        </w:tc>
        <w:tc>
          <w:tcPr>
            <w:tcW w:w="212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当学期累计旷课节数</w:t>
            </w:r>
          </w:p>
        </w:tc>
        <w:tc>
          <w:tcPr>
            <w:tcW w:w="174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  <w:t>不及格课程及成绩</w:t>
            </w: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学年学期</w:t>
            </w: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课程名称</w:t>
            </w: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成绩</w:t>
            </w: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学分</w:t>
            </w: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补考成绩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99" w:type="dxa"/>
            <w:vMerge w:val="continue"/>
            <w:textDirection w:val="tbRlV"/>
            <w:vAlign w:val="center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2" w:type="dxa"/>
            <w:gridSpan w:val="2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0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657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2129" w:type="dxa"/>
            <w:gridSpan w:val="3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743" w:type="dxa"/>
          </w:tcPr>
          <w:p>
            <w:pPr>
              <w:wordWrap w:val="0"/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8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  <w:t>预警原因及</w:t>
            </w: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  <w:lang w:eastAsia="zh-Hans"/>
              </w:rPr>
              <w:t>系</w:t>
            </w:r>
            <w:r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  <w:t>处理意见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pacing w:val="20"/>
                <w:szCs w:val="21"/>
              </w:rPr>
            </w:pPr>
          </w:p>
        </w:tc>
        <w:tc>
          <w:tcPr>
            <w:tcW w:w="9680" w:type="dxa"/>
            <w:gridSpan w:val="10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spacing w:after="468" w:afterLines="150"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分管教学副主任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签字（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系</w:t>
            </w:r>
            <w:r>
              <w:rPr>
                <w:rFonts w:ascii="宋体" w:hAnsi="宋体" w:eastAsia="宋体" w:cs="宋体"/>
                <w:bCs/>
                <w:color w:val="auto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公章）： </w:t>
            </w:r>
          </w:p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         　     　　　　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8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学生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eastAsia="zh-Hans"/>
              </w:rPr>
              <w:t>签字</w:t>
            </w:r>
          </w:p>
        </w:tc>
        <w:tc>
          <w:tcPr>
            <w:tcW w:w="9680" w:type="dxa"/>
            <w:gridSpan w:val="10"/>
          </w:tcPr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学校关于本人学业方面的警示，本人已经知晓。　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  <w:p>
            <w:pPr>
              <w:ind w:firstLine="4410" w:firstLineChars="21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学生本人签字：           </w:t>
            </w:r>
          </w:p>
          <w:p>
            <w:pPr>
              <w:ind w:firstLine="4830" w:firstLineChars="2300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年　 月　 日</w:t>
            </w:r>
          </w:p>
        </w:tc>
      </w:tr>
    </w:tbl>
    <w:tbl>
      <w:tblPr>
        <w:tblStyle w:val="4"/>
        <w:tblpPr w:leftFromText="180" w:rightFromText="180" w:vertAnchor="text" w:tblpX="10217" w:tblpY="-9783"/>
        <w:tblOverlap w:val="never"/>
        <w:tblW w:w="14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1" w:type="dxa"/>
          </w:tcPr>
          <w:p>
            <w:pPr>
              <w:rPr>
                <w:rFonts w:hint="eastAsia" w:ascii="宋体" w:hAnsi="宋体" w:eastAsia="宋体" w:cs="宋体"/>
                <w:bCs/>
                <w:color w:val="auto"/>
                <w:spacing w:val="2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Cs/>
          <w:color w:val="auto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注：此通知单</w:t>
      </w:r>
      <w:r>
        <w:rPr>
          <w:rFonts w:hint="eastAsia" w:ascii="宋体" w:hAnsi="宋体" w:eastAsia="宋体" w:cs="宋体"/>
          <w:bCs/>
          <w:color w:val="auto"/>
          <w:szCs w:val="21"/>
        </w:rPr>
        <w:t>一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式</w:t>
      </w:r>
      <w:r>
        <w:rPr>
          <w:rFonts w:ascii="宋体" w:hAnsi="宋体" w:eastAsia="宋体" w:cs="宋体"/>
          <w:bCs/>
          <w:color w:val="auto"/>
          <w:spacing w:val="2"/>
          <w:szCs w:val="21"/>
        </w:rPr>
        <w:t>2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份，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  <w:lang w:eastAsia="zh-Hans"/>
        </w:rPr>
        <w:t>系</w:t>
      </w:r>
      <w:r>
        <w:rPr>
          <w:rFonts w:hint="eastAsia" w:ascii="宋体" w:hAnsi="宋体" w:eastAsia="宋体" w:cs="宋体"/>
          <w:bCs/>
          <w:color w:val="auto"/>
          <w:szCs w:val="21"/>
        </w:rPr>
        <w:t>和</w:t>
      </w:r>
      <w:r>
        <w:rPr>
          <w:rFonts w:hint="eastAsia" w:ascii="宋体" w:hAnsi="宋体" w:eastAsia="宋体" w:cs="宋体"/>
          <w:bCs/>
          <w:color w:val="auto"/>
          <w:spacing w:val="2"/>
          <w:szCs w:val="21"/>
        </w:rPr>
        <w:t>学生本人各</w:t>
      </w:r>
      <w:r>
        <w:rPr>
          <w:rFonts w:ascii="宋体" w:hAnsi="宋体" w:eastAsia="宋体" w:cs="宋体"/>
          <w:bCs/>
          <w:color w:val="auto"/>
          <w:spacing w:val="2"/>
          <w:szCs w:val="21"/>
        </w:rPr>
        <w:t>1</w:t>
      </w:r>
      <w:r>
        <w:rPr>
          <w:rFonts w:hint="eastAsia" w:ascii="宋体" w:hAnsi="宋体" w:eastAsia="宋体" w:cs="宋体"/>
          <w:bCs/>
          <w:color w:val="auto"/>
          <w:spacing w:val="-1"/>
          <w:szCs w:val="21"/>
        </w:rPr>
        <w:t>份</w:t>
      </w:r>
      <w:r>
        <w:rPr>
          <w:rFonts w:hint="eastAsia" w:ascii="宋体" w:hAnsi="宋体" w:eastAsia="宋体" w:cs="宋体"/>
          <w:bCs/>
          <w:color w:val="auto"/>
          <w:szCs w:val="21"/>
        </w:rPr>
        <w:t>。</w:t>
      </w:r>
    </w:p>
    <w:p>
      <w:pPr>
        <w:spacing w:line="570" w:lineRule="exact"/>
        <w:rPr>
          <w:rFonts w:hint="eastAsia" w:ascii="黑体" w:hAnsi="黑体" w:eastAsia="黑体" w:cs="Times New Roman"/>
          <w:color w:val="auto"/>
          <w:sz w:val="32"/>
          <w:szCs w:val="22"/>
        </w:rPr>
      </w:pPr>
      <w:r>
        <w:rPr>
          <w:rFonts w:hint="eastAsia" w:ascii="黑体" w:hAnsi="黑体" w:eastAsia="黑体" w:cs="Times New Roman"/>
          <w:color w:val="auto"/>
          <w:spacing w:val="2"/>
          <w:sz w:val="32"/>
          <w:szCs w:val="22"/>
        </w:rPr>
        <w:t>附</w:t>
      </w:r>
      <w:r>
        <w:rPr>
          <w:rFonts w:hint="eastAsia" w:ascii="黑体" w:hAnsi="黑体" w:eastAsia="黑体" w:cs="Times New Roman"/>
          <w:color w:val="auto"/>
          <w:sz w:val="32"/>
          <w:szCs w:val="22"/>
        </w:rPr>
        <w:t>件</w:t>
      </w:r>
      <w:r>
        <w:rPr>
          <w:rFonts w:hint="eastAsia" w:ascii="黑体" w:hAnsi="黑体" w:eastAsia="黑体" w:cs="Times New Roman"/>
          <w:color w:val="auto"/>
          <w:spacing w:val="-98"/>
          <w:sz w:val="32"/>
          <w:szCs w:val="2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22"/>
        </w:rPr>
        <w:t>2</w:t>
      </w:r>
    </w:p>
    <w:p>
      <w:pPr>
        <w:spacing w:line="570" w:lineRule="exact"/>
        <w:ind w:firstLine="728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福州英华职业学院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学生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业预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处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理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结果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汇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总表</w:t>
      </w:r>
    </w:p>
    <w:p>
      <w:pPr>
        <w:kinsoku w:val="0"/>
        <w:overflowPunct w:val="0"/>
        <w:spacing w:before="8" w:line="150" w:lineRule="exact"/>
        <w:jc w:val="center"/>
        <w:rPr>
          <w:rFonts w:ascii="Calibri" w:hAnsi="Calibri" w:eastAsia="宋体" w:cs="Cordia New"/>
          <w:color w:val="auto"/>
          <w:sz w:val="15"/>
          <w:szCs w:val="22"/>
        </w:rPr>
      </w:pPr>
    </w:p>
    <w:p>
      <w:pPr>
        <w:kinsoku w:val="0"/>
        <w:overflowPunct w:val="0"/>
        <w:spacing w:line="200" w:lineRule="exact"/>
        <w:jc w:val="center"/>
        <w:rPr>
          <w:rFonts w:ascii="Calibri" w:hAnsi="Calibri" w:eastAsia="宋体" w:cs="Cordia New"/>
          <w:color w:val="auto"/>
          <w:sz w:val="28"/>
          <w:szCs w:val="28"/>
        </w:rPr>
      </w:pPr>
    </w:p>
    <w:p>
      <w:pPr>
        <w:tabs>
          <w:tab w:val="left" w:pos="9067"/>
        </w:tabs>
        <w:kinsoku w:val="0"/>
        <w:overflowPunct w:val="0"/>
        <w:spacing w:after="120"/>
        <w:ind w:left="228" w:firstLine="1400" w:firstLineChars="500"/>
        <w:rPr>
          <w:rFonts w:ascii="Calibri" w:hAnsi="Calibri" w:eastAsia="宋体" w:cs="Cordia New"/>
          <w:color w:val="auto"/>
          <w:sz w:val="28"/>
          <w:szCs w:val="28"/>
        </w:rPr>
      </w:pPr>
      <w:r>
        <w:rPr>
          <w:rFonts w:hint="eastAsia" w:ascii="Calibri" w:hAnsi="Calibri" w:eastAsia="宋体" w:cs="Cordia New"/>
          <w:color w:val="auto"/>
          <w:sz w:val="28"/>
          <w:szCs w:val="28"/>
          <w:lang w:eastAsia="zh-Hans"/>
        </w:rPr>
        <w:t>系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(</w:t>
      </w:r>
      <w:r>
        <w:rPr>
          <w:rFonts w:hint="eastAsia" w:ascii="Calibri" w:hAnsi="Calibri" w:eastAsia="宋体" w:cs="Cordia New"/>
          <w:color w:val="auto"/>
          <w:spacing w:val="2"/>
          <w:sz w:val="28"/>
          <w:szCs w:val="28"/>
        </w:rPr>
        <w:t>公章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 xml:space="preserve">):                                              </w:t>
      </w:r>
      <w:r>
        <w:rPr>
          <w:rFonts w:hint="eastAsia" w:ascii="Calibri" w:hAnsi="Calibri" w:eastAsia="宋体" w:cs="Cordia New"/>
          <w:color w:val="auto"/>
          <w:sz w:val="28"/>
          <w:szCs w:val="28"/>
          <w:lang w:eastAsia="zh-Hans"/>
        </w:rPr>
        <w:t>分管教学副主任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签</w:t>
      </w:r>
      <w:r>
        <w:rPr>
          <w:rFonts w:hint="eastAsia" w:ascii="Calibri" w:hAnsi="Calibri" w:eastAsia="宋体" w:cs="Cordia New"/>
          <w:color w:val="auto"/>
          <w:spacing w:val="2"/>
          <w:sz w:val="28"/>
          <w:szCs w:val="28"/>
        </w:rPr>
        <w:t>名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：</w:t>
      </w:r>
    </w:p>
    <w:tbl>
      <w:tblPr>
        <w:tblStyle w:val="3"/>
        <w:tblW w:w="14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350"/>
        <w:gridCol w:w="1035"/>
        <w:gridCol w:w="2554"/>
        <w:gridCol w:w="3056"/>
        <w:gridCol w:w="2100"/>
        <w:gridCol w:w="2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43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abs>
                <w:tab w:val="left" w:pos="1066"/>
                <w:tab w:val="left" w:pos="2355"/>
              </w:tabs>
              <w:kinsoku w:val="0"/>
              <w:overflowPunct w:val="0"/>
              <w:spacing w:before="28"/>
              <w:ind w:left="102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Cordia New"/>
                <w:color w:val="auto"/>
                <w:spacing w:val="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0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学年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  <w:lang w:eastAsia="zh-Hans"/>
              </w:rPr>
              <w:t>第</w:t>
            </w:r>
            <w:r>
              <w:rPr>
                <w:rFonts w:ascii="仿宋_GB2312" w:hAnsi="仿宋_GB2312" w:eastAsia="仿宋_GB2312" w:cs="Cordia New"/>
                <w:color w:val="auto"/>
                <w:spacing w:val="2"/>
                <w:sz w:val="28"/>
                <w:szCs w:val="28"/>
                <w:u w:val="single"/>
                <w:lang w:eastAsia="zh-Hans"/>
              </w:rPr>
              <w:t xml:space="preserve">       </w:t>
            </w: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级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专业班级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预警原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累计预警次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spacing w:before="11"/>
              <w:jc w:val="center"/>
              <w:rPr>
                <w:rFonts w:ascii="Calibri" w:hAnsi="Calibri" w:eastAsia="宋体" w:cs="Cordia New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Cordia New"/>
                <w:color w:val="auto"/>
                <w:spacing w:val="2"/>
                <w:sz w:val="28"/>
                <w:szCs w:val="28"/>
              </w:rPr>
              <w:t>处理意</w:t>
            </w:r>
            <w:r>
              <w:rPr>
                <w:rFonts w:hint="eastAsia" w:ascii="仿宋_GB2312" w:hAnsi="仿宋_GB2312" w:eastAsia="仿宋_GB2312" w:cs="Cordia New"/>
                <w:color w:val="auto"/>
                <w:sz w:val="28"/>
                <w:szCs w:val="28"/>
              </w:rPr>
              <w:t>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tabs>
          <w:tab w:val="left" w:pos="11831"/>
          <w:tab w:val="left" w:pos="12793"/>
          <w:tab w:val="left" w:pos="13758"/>
        </w:tabs>
        <w:kinsoku w:val="0"/>
        <w:overflowPunct w:val="0"/>
        <w:spacing w:after="120" w:line="419" w:lineRule="exact"/>
        <w:ind w:left="119"/>
        <w:jc w:val="center"/>
        <w:rPr>
          <w:rFonts w:ascii="Calibri" w:hAnsi="Calibri" w:eastAsia="宋体" w:cs="Cordia New"/>
          <w:color w:val="auto"/>
          <w:sz w:val="28"/>
          <w:szCs w:val="28"/>
        </w:rPr>
      </w:pPr>
      <w:r>
        <w:rPr>
          <w:rFonts w:hint="eastAsia" w:ascii="Calibri" w:hAnsi="Calibri" w:eastAsia="宋体" w:cs="Cordia New"/>
          <w:color w:val="auto"/>
          <w:spacing w:val="2"/>
          <w:sz w:val="28"/>
          <w:szCs w:val="28"/>
        </w:rPr>
        <w:t>填表人</w:t>
      </w:r>
      <w:r>
        <w:rPr>
          <w:rFonts w:hint="eastAsia" w:ascii="Calibri" w:hAnsi="Calibri" w:eastAsia="宋体" w:cs="Cordia New"/>
          <w:color w:val="auto"/>
          <w:sz w:val="28"/>
          <w:szCs w:val="28"/>
        </w:rPr>
        <w:t>：                                               年     月    日</w:t>
      </w:r>
    </w:p>
    <w:p>
      <w:pPr>
        <w:rPr>
          <w:rFonts w:ascii="方正仿宋_GBK" w:cs="Cordia New"/>
          <w:color w:val="auto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titlePg/>
          <w:docGrid w:type="linesAndChars" w:linePitch="312" w:charSpace="0"/>
        </w:sectPr>
      </w:pPr>
    </w:p>
    <w:p>
      <w:pPr>
        <w:spacing w:after="156" w:afterLines="5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福州英华职业学院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学生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业预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警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帮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扶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谈话</w:t>
      </w:r>
      <w:r>
        <w:rPr>
          <w:rFonts w:hint="eastAsia" w:ascii="方正小标宋_GBK" w:hAnsi="方正小标宋_GBK" w:eastAsia="方正小标宋_GBK" w:cs="方正小标宋_GBK"/>
          <w:color w:val="auto"/>
          <w:spacing w:val="2"/>
          <w:sz w:val="36"/>
          <w:szCs w:val="36"/>
        </w:rPr>
        <w:t>记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录表</w:t>
      </w:r>
    </w:p>
    <w:p>
      <w:pPr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  <w:lang w:eastAsia="zh-Hans"/>
        </w:rPr>
        <w:t>系</w:t>
      </w:r>
      <w:r>
        <w:rPr>
          <w:rFonts w:hint="eastAsia" w:ascii="宋体" w:hAnsi="宋体" w:eastAsia="宋体" w:cs="宋体"/>
          <w:color w:val="auto"/>
          <w:szCs w:val="21"/>
        </w:rPr>
        <w:t>（公章）：</w:t>
      </w:r>
    </w:p>
    <w:tbl>
      <w:tblPr>
        <w:tblStyle w:val="3"/>
        <w:tblW w:w="9804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85"/>
        <w:gridCol w:w="800"/>
        <w:gridCol w:w="1184"/>
        <w:gridCol w:w="781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谈话对象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谈话开始时间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    月    日    时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学号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年级专业班级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谈话地点</w:t>
            </w:r>
          </w:p>
        </w:tc>
        <w:tc>
          <w:tcPr>
            <w:tcW w:w="2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谈话结束时间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年    月    日   时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2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谈话内容</w:t>
            </w:r>
          </w:p>
        </w:tc>
        <w:tc>
          <w:tcPr>
            <w:tcW w:w="7584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1.向该生详细解读《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福州英华职业学院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学生学籍管理规定》及《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福州英华职业学院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学生学业预警及帮扶机制实施办法》。2.共同分析导致预警的原因。3.课程重修学习计划。4.为该生今后学习、生活提供的意见和建议。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8" w:hRule="atLeast"/>
        </w:trPr>
        <w:tc>
          <w:tcPr>
            <w:tcW w:w="222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584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教师签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Hans"/>
              </w:rPr>
              <w:t>字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学生签字</w:t>
            </w:r>
          </w:p>
        </w:tc>
        <w:tc>
          <w:tcPr>
            <w:tcW w:w="2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spacing w:line="570" w:lineRule="exact"/>
        <w:rPr>
          <w:rFonts w:ascii="方正仿宋_GBK" w:hAnsi="Calibri" w:eastAsia="方正仿宋_GBK" w:cs="Cordia New"/>
          <w:color w:val="auto"/>
          <w:sz w:val="32"/>
          <w:szCs w:val="22"/>
        </w:rPr>
      </w:pPr>
      <w:r>
        <w:rPr>
          <w:rFonts w:hint="eastAsia" w:ascii="宋体" w:hAnsi="宋体" w:eastAsia="宋体" w:cs="宋体"/>
          <w:color w:val="auto"/>
          <w:szCs w:val="21"/>
        </w:rPr>
        <w:t>注：谈话内容提纲仅供参考</w:t>
      </w:r>
    </w:p>
    <w:p>
      <w:pPr>
        <w:jc w:val="center"/>
        <w:rPr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方正小标宋_GBK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12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1</w:t>
    </w:r>
    <w:r>
      <w:rPr>
        <w:rFonts w:ascii="宋体" w:hAnsi="宋体" w:eastAsia="宋体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70" w:lineRule="exact"/>
      <w:ind w:left="640"/>
      <w:rPr>
        <w:rFonts w:ascii="Calibri" w:hAnsi="Calibri" w:eastAsia="方正仿宋_GBK" w:cs="Times New Roman"/>
        <w:sz w:val="3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70" w:lineRule="exact"/>
      <w:ind w:left="640"/>
      <w:rPr>
        <w:rFonts w:ascii="Calibri" w:hAnsi="Calibri" w:eastAsia="方正仿宋_GBK" w:cs="Times New Roman"/>
        <w:sz w:val="3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M2NjN2NlNDM2YmYyMzE1ZDg4YTcxOTYyMjc3MGUifQ=="/>
  </w:docVars>
  <w:rsids>
    <w:rsidRoot w:val="B7B71D9A"/>
    <w:rsid w:val="000024BF"/>
    <w:rsid w:val="00150E9B"/>
    <w:rsid w:val="00E5699A"/>
    <w:rsid w:val="00F74ADC"/>
    <w:rsid w:val="157B22A3"/>
    <w:rsid w:val="2FC46709"/>
    <w:rsid w:val="37FDD210"/>
    <w:rsid w:val="38EF3F04"/>
    <w:rsid w:val="3B7E6D13"/>
    <w:rsid w:val="3DAF4F12"/>
    <w:rsid w:val="3F5FB3D4"/>
    <w:rsid w:val="3FFC5B87"/>
    <w:rsid w:val="3FFEB160"/>
    <w:rsid w:val="4FFF8BC9"/>
    <w:rsid w:val="75F7EF4E"/>
    <w:rsid w:val="77FB353C"/>
    <w:rsid w:val="7ED779A1"/>
    <w:rsid w:val="7F64CFA0"/>
    <w:rsid w:val="7FFF7D24"/>
    <w:rsid w:val="977F1536"/>
    <w:rsid w:val="B7B71D9A"/>
    <w:rsid w:val="BDF8FC01"/>
    <w:rsid w:val="CB8B523F"/>
    <w:rsid w:val="E7BA8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570" w:lineRule="exact"/>
      <w:ind w:firstLine="200" w:firstLineChars="200"/>
    </w:pPr>
    <w:rPr>
      <w:rFonts w:ascii="Calibri" w:hAnsi="Calibri" w:eastAsia="方正仿宋_GBK" w:cs="Times New Roman"/>
      <w:kern w:val="2"/>
      <w:sz w:val="18"/>
      <w:szCs w:val="18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2165</Words>
  <Characters>2194</Characters>
  <Lines>18</Lines>
  <Paragraphs>5</Paragraphs>
  <TotalTime>58</TotalTime>
  <ScaleCrop>false</ScaleCrop>
  <LinksUpToDate>false</LinksUpToDate>
  <CharactersWithSpaces>2446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2024-07-12T01:51:00Z</dcterms:created>
  <dc:creator>czm</dc:creator>
  <cp:lastModifiedBy>Administrator</cp:lastModifiedBy>
  <dcterms:modified xsi:type="dcterms:W3CDTF">2024-08-03T05:26:59Z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95D23D911E58F170A5978C66D17F284A</vt:lpwstr>
  </property>
</Properties>
</file>