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1AF13">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附件1：</w:t>
      </w:r>
    </w:p>
    <w:p w14:paraId="2EDB4D9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福州英华职业学院专业诊断与改进评估专家评估问题清单及整改建议</w:t>
      </w:r>
      <w:bookmarkStart w:id="0" w:name="_GoBack"/>
      <w:bookmarkEnd w:id="0"/>
    </w:p>
    <w:p w14:paraId="3100CC7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系部：</w:t>
      </w:r>
      <w:r>
        <w:rPr>
          <w:rFonts w:hint="eastAsia" w:ascii="仿宋" w:hAnsi="仿宋" w:eastAsia="仿宋" w:cs="仿宋"/>
          <w:b/>
          <w:bCs/>
          <w:sz w:val="24"/>
          <w:szCs w:val="24"/>
          <w:u w:val="single"/>
          <w:lang w:val="en-US" w:eastAsia="zh-CN"/>
        </w:rPr>
        <w:t xml:space="preserve">   信息技术系                      </w:t>
      </w:r>
      <w:r>
        <w:rPr>
          <w:rFonts w:hint="eastAsia" w:ascii="仿宋" w:hAnsi="仿宋" w:eastAsia="仿宋" w:cs="仿宋"/>
          <w:b/>
          <w:bCs/>
          <w:sz w:val="24"/>
          <w:szCs w:val="24"/>
          <w:lang w:val="en-US" w:eastAsia="zh-CN"/>
        </w:rPr>
        <w:t xml:space="preserve">                                   专业：</w:t>
      </w:r>
      <w:r>
        <w:rPr>
          <w:rFonts w:hint="eastAsia" w:ascii="仿宋" w:hAnsi="仿宋" w:eastAsia="仿宋" w:cs="仿宋"/>
          <w:b/>
          <w:bCs/>
          <w:sz w:val="24"/>
          <w:szCs w:val="24"/>
          <w:u w:val="single"/>
          <w:lang w:val="en-US" w:eastAsia="zh-CN"/>
        </w:rPr>
        <w:t xml:space="preserve">   动漫制作技术                        </w:t>
      </w:r>
      <w:r>
        <w:rPr>
          <w:rFonts w:hint="eastAsia" w:ascii="仿宋" w:hAnsi="仿宋" w:eastAsia="仿宋" w:cs="仿宋"/>
          <w:b/>
          <w:bCs/>
          <w:sz w:val="24"/>
          <w:szCs w:val="24"/>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769"/>
        <w:gridCol w:w="4800"/>
        <w:gridCol w:w="4701"/>
      </w:tblGrid>
      <w:tr w14:paraId="7C76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950" w:type="dxa"/>
            <w:vAlign w:val="center"/>
          </w:tcPr>
          <w:p w14:paraId="1B6D3340">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一级指标</w:t>
            </w:r>
          </w:p>
        </w:tc>
        <w:tc>
          <w:tcPr>
            <w:tcW w:w="2769" w:type="dxa"/>
            <w:vAlign w:val="center"/>
          </w:tcPr>
          <w:p w14:paraId="1354B971">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二级指标</w:t>
            </w:r>
          </w:p>
        </w:tc>
        <w:tc>
          <w:tcPr>
            <w:tcW w:w="4800" w:type="dxa"/>
            <w:vAlign w:val="center"/>
          </w:tcPr>
          <w:p w14:paraId="4E654463">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问题表述</w:t>
            </w:r>
          </w:p>
        </w:tc>
        <w:tc>
          <w:tcPr>
            <w:tcW w:w="4701" w:type="dxa"/>
            <w:vAlign w:val="center"/>
          </w:tcPr>
          <w:p w14:paraId="73A9B14B">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整改建议</w:t>
            </w:r>
          </w:p>
        </w:tc>
      </w:tr>
      <w:tr w14:paraId="5045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942C51F">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1.专业定位、规划与专业管理</w:t>
            </w:r>
          </w:p>
        </w:tc>
        <w:tc>
          <w:tcPr>
            <w:tcW w:w="2769" w:type="dxa"/>
            <w:vAlign w:val="center"/>
          </w:tcPr>
          <w:p w14:paraId="0C3E95FB">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1.1专业定位</w:t>
            </w:r>
          </w:p>
        </w:tc>
        <w:tc>
          <w:tcPr>
            <w:tcW w:w="4800" w:type="dxa"/>
            <w:vAlign w:val="center"/>
          </w:tcPr>
          <w:p w14:paraId="4F4EBB32">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1、专业定位不够清晰，动漫制作技术专业与数字媒体技术专业定位中区分度不够。</w:t>
            </w:r>
          </w:p>
        </w:tc>
        <w:tc>
          <w:tcPr>
            <w:tcW w:w="4701" w:type="dxa"/>
            <w:vAlign w:val="center"/>
          </w:tcPr>
          <w:p w14:paraId="50A9A1B5">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建议专业整合，或者提高动漫制作技术专业的课程设置独特性，深挖动漫产业新技术，及时调整专业课程设置，明确专业定位，避免人才培养的重合型。</w:t>
            </w:r>
          </w:p>
        </w:tc>
      </w:tr>
      <w:tr w14:paraId="683B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B418044">
            <w:pPr>
              <w:jc w:val="center"/>
              <w:rPr>
                <w:rFonts w:hint="eastAsia" w:ascii="仿宋" w:hAnsi="仿宋" w:eastAsia="仿宋" w:cs="仿宋"/>
                <w:sz w:val="24"/>
                <w:szCs w:val="24"/>
                <w:vertAlign w:val="baseline"/>
                <w:lang w:val="en-US" w:eastAsia="zh-CN"/>
              </w:rPr>
            </w:pPr>
          </w:p>
        </w:tc>
        <w:tc>
          <w:tcPr>
            <w:tcW w:w="2769" w:type="dxa"/>
            <w:vAlign w:val="center"/>
          </w:tcPr>
          <w:p w14:paraId="642C98A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1.2专业规划</w:t>
            </w:r>
          </w:p>
        </w:tc>
        <w:tc>
          <w:tcPr>
            <w:tcW w:w="4800" w:type="dxa"/>
            <w:vAlign w:val="center"/>
          </w:tcPr>
          <w:p w14:paraId="1D3758DC">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1、1.2.3专业人才需求调查分析报告缺乏针对性，缺乏针对本校高职层次动漫专业需求分析，缺乏针对本省动漫专业人才需求分析数据。</w:t>
            </w:r>
          </w:p>
        </w:tc>
        <w:tc>
          <w:tcPr>
            <w:tcW w:w="4701" w:type="dxa"/>
            <w:vAlign w:val="center"/>
          </w:tcPr>
          <w:p w14:paraId="5936A471">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应针对本省高职类动漫制作技术专业开展需求调研，调研企业应大多为本省企业，才符合区域经济发展需求。确保作为本校本专业人才培养方案制定的依据的调研数据真实、有效。</w:t>
            </w:r>
          </w:p>
        </w:tc>
      </w:tr>
      <w:tr w14:paraId="104E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Merge w:val="continue"/>
            <w:vAlign w:val="center"/>
          </w:tcPr>
          <w:p w14:paraId="5D452B93">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13C1E6FB">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1.3专业建设管理</w:t>
            </w:r>
          </w:p>
        </w:tc>
        <w:tc>
          <w:tcPr>
            <w:tcW w:w="4800" w:type="dxa"/>
            <w:shd w:val="clear" w:color="auto" w:fill="auto"/>
            <w:vAlign w:val="center"/>
          </w:tcPr>
          <w:p w14:paraId="7BF46D95">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2、专业建设指导委员会人员构成可以多元化</w:t>
            </w:r>
          </w:p>
        </w:tc>
        <w:tc>
          <w:tcPr>
            <w:tcW w:w="4701" w:type="dxa"/>
            <w:vAlign w:val="center"/>
          </w:tcPr>
          <w:p w14:paraId="26E5A60D">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适当增加深入合作企业的高职称或高管人员加入</w:t>
            </w:r>
          </w:p>
        </w:tc>
      </w:tr>
      <w:tr w14:paraId="352C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A1FC92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F6E11C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63218AE">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2、1.3.4中开展“三全育人”案例均都是图片，应加以文字说明，总结提炼。</w:t>
            </w:r>
          </w:p>
        </w:tc>
        <w:tc>
          <w:tcPr>
            <w:tcW w:w="4701" w:type="dxa"/>
            <w:vAlign w:val="center"/>
          </w:tcPr>
          <w:p w14:paraId="344DD75E">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案例可做典型案例说明。</w:t>
            </w:r>
          </w:p>
        </w:tc>
      </w:tr>
      <w:tr w14:paraId="2BAD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F7A127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2.人才培养方案</w:t>
            </w:r>
          </w:p>
        </w:tc>
        <w:tc>
          <w:tcPr>
            <w:tcW w:w="2769" w:type="dxa"/>
            <w:vAlign w:val="center"/>
          </w:tcPr>
          <w:p w14:paraId="0048F7C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2.1培养目标</w:t>
            </w:r>
          </w:p>
        </w:tc>
        <w:tc>
          <w:tcPr>
            <w:tcW w:w="4800" w:type="dxa"/>
            <w:shd w:val="clear" w:color="auto" w:fill="auto"/>
            <w:vAlign w:val="center"/>
          </w:tcPr>
          <w:p w14:paraId="12A831B0">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1、人才培养方案缺少学校特色，与教学标准一样。</w:t>
            </w:r>
          </w:p>
        </w:tc>
        <w:tc>
          <w:tcPr>
            <w:tcW w:w="4701" w:type="dxa"/>
            <w:vAlign w:val="center"/>
          </w:tcPr>
          <w:p w14:paraId="3FCD388F">
            <w:pPr>
              <w:jc w:val="left"/>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教学标准只是最低标准，要从学校的特色和办学定位，确定动漫专业特色，跟别的学校对比有竞争力</w:t>
            </w:r>
          </w:p>
        </w:tc>
      </w:tr>
      <w:tr w14:paraId="578D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DFA78E1">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3E6B3B6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 人才培养模式</w:t>
            </w:r>
          </w:p>
        </w:tc>
        <w:tc>
          <w:tcPr>
            <w:tcW w:w="4800" w:type="dxa"/>
            <w:shd w:val="clear" w:color="auto" w:fill="auto"/>
            <w:vAlign w:val="center"/>
          </w:tcPr>
          <w:p w14:paraId="788C1802">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2.有一定的特色，在课程中如何体现</w:t>
            </w:r>
          </w:p>
        </w:tc>
        <w:tc>
          <w:tcPr>
            <w:tcW w:w="4701" w:type="dxa"/>
            <w:vAlign w:val="center"/>
          </w:tcPr>
          <w:p w14:paraId="3C88C1CE">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要把特色在课程中如何体现讲清楚，画个逻辑图</w:t>
            </w:r>
          </w:p>
        </w:tc>
      </w:tr>
      <w:tr w14:paraId="036A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399D406">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BCD0CE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17D13C5">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2、2.3.2人才培养模式与课程体系之间关联性不够。</w:t>
            </w:r>
          </w:p>
        </w:tc>
        <w:tc>
          <w:tcPr>
            <w:tcW w:w="4701" w:type="dxa"/>
            <w:vAlign w:val="center"/>
          </w:tcPr>
          <w:p w14:paraId="397EA810">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可使用课程体系推导图（岗位需求-&gt;能力要求-&gt;课程设置）</w:t>
            </w:r>
          </w:p>
        </w:tc>
      </w:tr>
    </w:tbl>
    <w:p w14:paraId="04E30F15"/>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769"/>
        <w:gridCol w:w="4800"/>
        <w:gridCol w:w="4701"/>
      </w:tblGrid>
      <w:tr w14:paraId="0F84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F8ED0A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3.课程建设</w:t>
            </w:r>
          </w:p>
        </w:tc>
        <w:tc>
          <w:tcPr>
            <w:tcW w:w="2769" w:type="dxa"/>
            <w:vAlign w:val="center"/>
          </w:tcPr>
          <w:p w14:paraId="14AA107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3.1课程标准</w:t>
            </w:r>
          </w:p>
        </w:tc>
        <w:tc>
          <w:tcPr>
            <w:tcW w:w="4800" w:type="dxa"/>
            <w:vAlign w:val="center"/>
          </w:tcPr>
          <w:p w14:paraId="71C59095">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1、部分课程的课程标准中对教材未选用近5年出版教材，教材使用老旧。课程考核方式基本相同，未根据课程特点及时调整。</w:t>
            </w:r>
          </w:p>
        </w:tc>
        <w:tc>
          <w:tcPr>
            <w:tcW w:w="4701" w:type="dxa"/>
            <w:vAlign w:val="center"/>
          </w:tcPr>
          <w:p w14:paraId="127F6637">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加强课程标准审核，每年依据人培要求及时更新课标。</w:t>
            </w:r>
          </w:p>
        </w:tc>
      </w:tr>
      <w:tr w14:paraId="2E64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DE8464F">
            <w:pPr>
              <w:jc w:val="center"/>
              <w:rPr>
                <w:rFonts w:hint="eastAsia" w:ascii="仿宋" w:hAnsi="仿宋" w:eastAsia="仿宋" w:cs="仿宋"/>
                <w:sz w:val="24"/>
                <w:szCs w:val="24"/>
                <w:vertAlign w:val="baseline"/>
                <w:lang w:val="en-US" w:eastAsia="zh-CN"/>
              </w:rPr>
            </w:pPr>
          </w:p>
        </w:tc>
        <w:tc>
          <w:tcPr>
            <w:tcW w:w="2769" w:type="dxa"/>
            <w:vAlign w:val="center"/>
          </w:tcPr>
          <w:p w14:paraId="20D4FEC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3.2课程实施</w:t>
            </w:r>
          </w:p>
        </w:tc>
        <w:tc>
          <w:tcPr>
            <w:tcW w:w="4800" w:type="dxa"/>
            <w:vAlign w:val="center"/>
          </w:tcPr>
          <w:p w14:paraId="13D8172F">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2.校企合作开发课程少，只有2门</w:t>
            </w:r>
          </w:p>
        </w:tc>
        <w:tc>
          <w:tcPr>
            <w:tcW w:w="4701" w:type="dxa"/>
            <w:vAlign w:val="center"/>
          </w:tcPr>
          <w:p w14:paraId="5B113BD5">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深入开展校企合作开发教材</w:t>
            </w:r>
          </w:p>
        </w:tc>
      </w:tr>
      <w:tr w14:paraId="25D3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EB7FA7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3D881C2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3.3课程资源</w:t>
            </w:r>
          </w:p>
        </w:tc>
        <w:tc>
          <w:tcPr>
            <w:tcW w:w="4800" w:type="dxa"/>
            <w:vAlign w:val="center"/>
          </w:tcPr>
          <w:p w14:paraId="7B23A8BF">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1、3.3.1教材选用较为规范，缺审批原始材料。</w:t>
            </w:r>
          </w:p>
        </w:tc>
        <w:tc>
          <w:tcPr>
            <w:tcW w:w="4701" w:type="dxa"/>
            <w:vAlign w:val="center"/>
          </w:tcPr>
          <w:p w14:paraId="3848E7C5">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每本教材均需选用申请表。</w:t>
            </w:r>
          </w:p>
        </w:tc>
      </w:tr>
      <w:tr w14:paraId="5969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199F9E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C8ACE5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4F94221">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2、3.3.5缺总结材料</w:t>
            </w:r>
          </w:p>
        </w:tc>
        <w:tc>
          <w:tcPr>
            <w:tcW w:w="4701" w:type="dxa"/>
            <w:vAlign w:val="center"/>
          </w:tcPr>
          <w:p w14:paraId="02A398F0">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可以把过程性实施材料和佐证进行总结</w:t>
            </w:r>
          </w:p>
        </w:tc>
      </w:tr>
      <w:tr w14:paraId="72E7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Align w:val="center"/>
          </w:tcPr>
          <w:p w14:paraId="48319463">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4.实践教学管理</w:t>
            </w:r>
          </w:p>
        </w:tc>
        <w:tc>
          <w:tcPr>
            <w:tcW w:w="2769" w:type="dxa"/>
            <w:vAlign w:val="center"/>
          </w:tcPr>
          <w:p w14:paraId="27E1586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4.3实践教学内容与管理</w:t>
            </w:r>
          </w:p>
        </w:tc>
        <w:tc>
          <w:tcPr>
            <w:tcW w:w="4800" w:type="dxa"/>
            <w:vAlign w:val="center"/>
          </w:tcPr>
          <w:p w14:paraId="5FE4848E">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1、4.3.5应按近三年3个表格汇总</w:t>
            </w:r>
          </w:p>
        </w:tc>
        <w:tc>
          <w:tcPr>
            <w:tcW w:w="4701" w:type="dxa"/>
            <w:vAlign w:val="center"/>
          </w:tcPr>
          <w:p w14:paraId="2DA828B1">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分年度</w:t>
            </w:r>
          </w:p>
        </w:tc>
      </w:tr>
      <w:tr w14:paraId="0789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38123A9">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5.专业师资</w:t>
            </w:r>
          </w:p>
        </w:tc>
        <w:tc>
          <w:tcPr>
            <w:tcW w:w="2769" w:type="dxa"/>
            <w:vAlign w:val="center"/>
          </w:tcPr>
          <w:p w14:paraId="3BC519A3">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5.1专业带头人</w:t>
            </w:r>
          </w:p>
        </w:tc>
        <w:tc>
          <w:tcPr>
            <w:tcW w:w="4800" w:type="dxa"/>
            <w:shd w:val="clear" w:color="auto" w:fill="auto"/>
            <w:vAlign w:val="center"/>
          </w:tcPr>
          <w:p w14:paraId="7326DB02">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2、提升专业带头人专业影响力</w:t>
            </w:r>
          </w:p>
        </w:tc>
        <w:tc>
          <w:tcPr>
            <w:tcW w:w="4701" w:type="dxa"/>
            <w:vAlign w:val="center"/>
          </w:tcPr>
          <w:p w14:paraId="6453AA26">
            <w:pPr>
              <w:jc w:val="left"/>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学历进修，使专业带头人具有硕士及以上学历。</w:t>
            </w:r>
          </w:p>
        </w:tc>
      </w:tr>
      <w:tr w14:paraId="106F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4912D07">
            <w:pPr>
              <w:jc w:val="center"/>
              <w:rPr>
                <w:rFonts w:hint="eastAsia" w:ascii="仿宋" w:hAnsi="仿宋" w:eastAsia="仿宋" w:cs="仿宋"/>
                <w:sz w:val="24"/>
                <w:szCs w:val="24"/>
                <w:vertAlign w:val="baseline"/>
                <w:lang w:val="en-US" w:eastAsia="zh-CN"/>
              </w:rPr>
            </w:pPr>
          </w:p>
        </w:tc>
        <w:tc>
          <w:tcPr>
            <w:tcW w:w="2769" w:type="dxa"/>
            <w:vAlign w:val="center"/>
          </w:tcPr>
          <w:p w14:paraId="7875A09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5.2队伍结构</w:t>
            </w:r>
          </w:p>
        </w:tc>
        <w:tc>
          <w:tcPr>
            <w:tcW w:w="4800" w:type="dxa"/>
            <w:shd w:val="clear" w:color="auto" w:fill="auto"/>
            <w:vAlign w:val="center"/>
          </w:tcPr>
          <w:p w14:paraId="613D34E0">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eastAsia="zh-CN"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eastAsia="zh-CN" w:bidi="ar"/>
              </w:rPr>
              <w:t>专任教师15人中</w:t>
            </w:r>
            <w:r>
              <w:rPr>
                <w:rFonts w:hint="eastAsia" w:ascii="仿宋" w:hAnsi="仿宋" w:eastAsia="仿宋" w:cs="仿宋"/>
                <w:i w:val="0"/>
                <w:iCs w:val="0"/>
                <w:color w:val="000000"/>
                <w:kern w:val="0"/>
                <w:sz w:val="24"/>
                <w:szCs w:val="24"/>
                <w:u w:val="none"/>
                <w:lang w:val="en-US" w:eastAsia="zh-CN" w:bidi="ar"/>
              </w:rPr>
              <w:t>有13人</w:t>
            </w:r>
            <w:r>
              <w:rPr>
                <w:rFonts w:hint="default" w:ascii="仿宋" w:hAnsi="仿宋" w:eastAsia="仿宋" w:cs="仿宋"/>
                <w:i w:val="0"/>
                <w:iCs w:val="0"/>
                <w:color w:val="000000"/>
                <w:kern w:val="0"/>
                <w:sz w:val="24"/>
                <w:szCs w:val="24"/>
                <w:u w:val="none"/>
                <w:lang w:eastAsia="zh-CN" w:bidi="ar"/>
              </w:rPr>
              <w:t>为</w:t>
            </w:r>
            <w:r>
              <w:rPr>
                <w:rFonts w:hint="eastAsia" w:ascii="仿宋" w:hAnsi="仿宋" w:eastAsia="仿宋" w:cs="仿宋"/>
                <w:i w:val="0"/>
                <w:iCs w:val="0"/>
                <w:color w:val="000000"/>
                <w:kern w:val="0"/>
                <w:sz w:val="24"/>
                <w:szCs w:val="24"/>
                <w:u w:val="none"/>
                <w:lang w:val="en-US" w:eastAsia="zh-CN" w:bidi="ar"/>
              </w:rPr>
              <w:t>近5年入职</w:t>
            </w:r>
            <w:r>
              <w:rPr>
                <w:rFonts w:hint="default" w:ascii="仿宋" w:hAnsi="仿宋" w:eastAsia="仿宋" w:cs="仿宋"/>
                <w:i w:val="0"/>
                <w:iCs w:val="0"/>
                <w:color w:val="000000"/>
                <w:kern w:val="0"/>
                <w:sz w:val="24"/>
                <w:szCs w:val="24"/>
                <w:u w:val="none"/>
                <w:lang w:eastAsia="zh-CN" w:bidi="ar"/>
              </w:rPr>
              <w:t>，教师结构不稳定，流动性较大。</w:t>
            </w:r>
          </w:p>
          <w:p w14:paraId="5D5D285F">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研究生比例低</w:t>
            </w:r>
          </w:p>
        </w:tc>
        <w:tc>
          <w:tcPr>
            <w:tcW w:w="4701" w:type="dxa"/>
            <w:vAlign w:val="center"/>
          </w:tcPr>
          <w:p w14:paraId="124098EE">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出台相应措施，留住人才，避免教师流失。并积极培养新入职教师的教学能力。</w:t>
            </w:r>
          </w:p>
        </w:tc>
      </w:tr>
      <w:tr w14:paraId="1051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60DFDCE">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47129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5.3师德与履职能力</w:t>
            </w:r>
          </w:p>
        </w:tc>
        <w:tc>
          <w:tcPr>
            <w:tcW w:w="4800" w:type="dxa"/>
            <w:shd w:val="clear" w:color="auto" w:fill="auto"/>
            <w:vAlign w:val="center"/>
          </w:tcPr>
          <w:p w14:paraId="1728192A">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1、5.3.4近三年材料未全</w:t>
            </w:r>
          </w:p>
        </w:tc>
        <w:tc>
          <w:tcPr>
            <w:tcW w:w="4701" w:type="dxa"/>
            <w:vAlign w:val="center"/>
          </w:tcPr>
          <w:p w14:paraId="3BABC397">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请补齐（已补齐）</w:t>
            </w:r>
          </w:p>
        </w:tc>
      </w:tr>
      <w:tr w14:paraId="3FFE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4F73AC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467EB1B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B68ACF8">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2、5.3.6“三教”改革成果汇总及佐证材料不足</w:t>
            </w:r>
          </w:p>
        </w:tc>
        <w:tc>
          <w:tcPr>
            <w:tcW w:w="4701" w:type="dxa"/>
            <w:vAlign w:val="center"/>
          </w:tcPr>
          <w:p w14:paraId="2C440C86">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深化三教改革，及时进行汇总和归纳</w:t>
            </w:r>
          </w:p>
        </w:tc>
      </w:tr>
      <w:tr w14:paraId="68F3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5679A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8D070B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01D90E6">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3、5.3.13近三年材料未齐全</w:t>
            </w:r>
          </w:p>
        </w:tc>
        <w:tc>
          <w:tcPr>
            <w:tcW w:w="4701" w:type="dxa"/>
            <w:vAlign w:val="center"/>
          </w:tcPr>
          <w:p w14:paraId="3E85143C">
            <w:pPr>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补齐</w:t>
            </w:r>
          </w:p>
        </w:tc>
      </w:tr>
      <w:tr w14:paraId="6B5B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E4204A9">
            <w:pPr>
              <w:jc w:val="center"/>
              <w:rPr>
                <w:rFonts w:hint="eastAsia" w:ascii="仿宋" w:hAnsi="仿宋" w:eastAsia="仿宋" w:cs="仿宋"/>
                <w:sz w:val="24"/>
                <w:szCs w:val="24"/>
                <w:vertAlign w:val="baseline"/>
                <w:lang w:val="en-US" w:eastAsia="zh-CN"/>
              </w:rPr>
            </w:pPr>
          </w:p>
        </w:tc>
        <w:tc>
          <w:tcPr>
            <w:tcW w:w="2769" w:type="dxa"/>
            <w:vAlign w:val="center"/>
          </w:tcPr>
          <w:p w14:paraId="34184C4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5.5 教学科研能力</w:t>
            </w:r>
          </w:p>
        </w:tc>
        <w:tc>
          <w:tcPr>
            <w:tcW w:w="4800" w:type="dxa"/>
            <w:shd w:val="clear" w:color="auto" w:fill="auto"/>
            <w:vAlign w:val="center"/>
          </w:tcPr>
          <w:p w14:paraId="3A9E4758">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1、5.5.1  5.5.2  5.5.3  5.5.6  5.5.7缺总结报告</w:t>
            </w:r>
          </w:p>
        </w:tc>
        <w:tc>
          <w:tcPr>
            <w:tcW w:w="4701" w:type="dxa"/>
            <w:vAlign w:val="center"/>
          </w:tcPr>
          <w:p w14:paraId="70729538">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加强教师对行业企业、技术服务</w:t>
            </w:r>
          </w:p>
        </w:tc>
      </w:tr>
      <w:tr w14:paraId="12B6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E6F531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6.学生满意度</w:t>
            </w:r>
          </w:p>
        </w:tc>
        <w:tc>
          <w:tcPr>
            <w:tcW w:w="2769" w:type="dxa"/>
            <w:vAlign w:val="center"/>
          </w:tcPr>
          <w:p w14:paraId="33AA57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6.1对教学保障的满意度</w:t>
            </w:r>
          </w:p>
        </w:tc>
        <w:tc>
          <w:tcPr>
            <w:tcW w:w="4800" w:type="dxa"/>
            <w:vAlign w:val="center"/>
          </w:tcPr>
          <w:p w14:paraId="43547B69">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1、缺6.1.2  6.1.3材料</w:t>
            </w:r>
          </w:p>
        </w:tc>
        <w:tc>
          <w:tcPr>
            <w:tcW w:w="4701" w:type="dxa"/>
            <w:vAlign w:val="center"/>
          </w:tcPr>
          <w:p w14:paraId="0D3DA307">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增设面向学生解读征求采纳专业人培方案建设意见过程性材料。</w:t>
            </w:r>
          </w:p>
        </w:tc>
      </w:tr>
      <w:tr w14:paraId="7C2D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E92F876">
            <w:pPr>
              <w:jc w:val="center"/>
              <w:rPr>
                <w:rFonts w:hint="eastAsia" w:ascii="仿宋" w:hAnsi="仿宋" w:eastAsia="仿宋" w:cs="仿宋"/>
                <w:sz w:val="24"/>
                <w:szCs w:val="24"/>
                <w:vertAlign w:val="baseline"/>
                <w:lang w:val="en-US" w:eastAsia="zh-CN"/>
              </w:rPr>
            </w:pPr>
          </w:p>
        </w:tc>
        <w:tc>
          <w:tcPr>
            <w:tcW w:w="2769" w:type="dxa"/>
            <w:vAlign w:val="center"/>
          </w:tcPr>
          <w:p w14:paraId="093E3B0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6.2毕业生满意度</w:t>
            </w:r>
          </w:p>
        </w:tc>
        <w:tc>
          <w:tcPr>
            <w:tcW w:w="4800" w:type="dxa"/>
            <w:vAlign w:val="center"/>
          </w:tcPr>
          <w:p w14:paraId="1BC2098D">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1、毕业生满意度维度分析不足，缺少总结性材料，</w:t>
            </w:r>
          </w:p>
        </w:tc>
        <w:tc>
          <w:tcPr>
            <w:tcW w:w="4701" w:type="dxa"/>
            <w:vAlign w:val="center"/>
          </w:tcPr>
          <w:p w14:paraId="0404F11B">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及时进行毕业生质量追踪，做好毕业生满意度调查工作。</w:t>
            </w:r>
          </w:p>
        </w:tc>
      </w:tr>
      <w:tr w14:paraId="442F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1D16EE7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7.人才培养质量</w:t>
            </w:r>
          </w:p>
        </w:tc>
        <w:tc>
          <w:tcPr>
            <w:tcW w:w="2769" w:type="dxa"/>
            <w:vAlign w:val="center"/>
          </w:tcPr>
          <w:p w14:paraId="313177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7.1用人单位满意度</w:t>
            </w:r>
          </w:p>
        </w:tc>
        <w:tc>
          <w:tcPr>
            <w:tcW w:w="4800" w:type="dxa"/>
            <w:shd w:val="clear" w:color="auto" w:fill="auto"/>
            <w:vAlign w:val="center"/>
          </w:tcPr>
          <w:p w14:paraId="76729A9E">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1、缺少合理用人单位满意度调查机制，缺少总结性材料，</w:t>
            </w:r>
          </w:p>
        </w:tc>
        <w:tc>
          <w:tcPr>
            <w:tcW w:w="4701" w:type="dxa"/>
            <w:vAlign w:val="center"/>
          </w:tcPr>
          <w:p w14:paraId="792D4E2C">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提供佐证材料</w:t>
            </w:r>
          </w:p>
        </w:tc>
      </w:tr>
      <w:tr w14:paraId="3086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D400A71">
            <w:pPr>
              <w:jc w:val="center"/>
              <w:rPr>
                <w:rFonts w:hint="eastAsia" w:ascii="仿宋" w:hAnsi="仿宋" w:eastAsia="仿宋" w:cs="仿宋"/>
                <w:sz w:val="24"/>
                <w:szCs w:val="24"/>
                <w:vertAlign w:val="baseline"/>
                <w:lang w:val="en-US" w:eastAsia="zh-CN"/>
              </w:rPr>
            </w:pPr>
          </w:p>
        </w:tc>
        <w:tc>
          <w:tcPr>
            <w:tcW w:w="2769" w:type="dxa"/>
            <w:vAlign w:val="center"/>
          </w:tcPr>
          <w:p w14:paraId="6208BDA8">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7.2 就业状况</w:t>
            </w:r>
          </w:p>
        </w:tc>
        <w:tc>
          <w:tcPr>
            <w:tcW w:w="4800" w:type="dxa"/>
            <w:shd w:val="clear" w:color="auto" w:fill="auto"/>
            <w:vAlign w:val="center"/>
          </w:tcPr>
          <w:p w14:paraId="7C993D82">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2、7.2.2  7.2.5  7.2.6材料薄弱</w:t>
            </w:r>
          </w:p>
        </w:tc>
        <w:tc>
          <w:tcPr>
            <w:tcW w:w="4701" w:type="dxa"/>
            <w:vAlign w:val="center"/>
          </w:tcPr>
          <w:p w14:paraId="5B0B480C">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利用就业平台加强半年后学生就业情况分析，及时追踪学生毕业就业情况</w:t>
            </w:r>
          </w:p>
        </w:tc>
      </w:tr>
      <w:tr w14:paraId="0A41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4F19B4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8.校企（医）合作与社会服务</w:t>
            </w:r>
          </w:p>
        </w:tc>
        <w:tc>
          <w:tcPr>
            <w:tcW w:w="2769" w:type="dxa"/>
            <w:vAlign w:val="center"/>
          </w:tcPr>
          <w:p w14:paraId="4B1385B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8.1校企合作</w:t>
            </w:r>
          </w:p>
        </w:tc>
        <w:tc>
          <w:tcPr>
            <w:tcW w:w="4800" w:type="dxa"/>
            <w:shd w:val="clear" w:color="auto" w:fill="auto"/>
            <w:vAlign w:val="center"/>
          </w:tcPr>
          <w:p w14:paraId="539CDEC6">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1、只提供8.1.1材料</w:t>
            </w:r>
          </w:p>
        </w:tc>
        <w:tc>
          <w:tcPr>
            <w:tcW w:w="4701" w:type="dxa"/>
            <w:vAlign w:val="center"/>
          </w:tcPr>
          <w:p w14:paraId="1BA57BB2">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加强校企合作</w:t>
            </w:r>
          </w:p>
        </w:tc>
      </w:tr>
      <w:tr w14:paraId="78FF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6FAB0C2">
            <w:pPr>
              <w:jc w:val="center"/>
              <w:rPr>
                <w:rFonts w:hint="eastAsia" w:ascii="仿宋" w:hAnsi="仿宋" w:eastAsia="仿宋" w:cs="仿宋"/>
                <w:sz w:val="24"/>
                <w:szCs w:val="24"/>
                <w:vertAlign w:val="baseline"/>
                <w:lang w:val="en-US" w:eastAsia="zh-CN"/>
              </w:rPr>
            </w:pPr>
          </w:p>
        </w:tc>
        <w:tc>
          <w:tcPr>
            <w:tcW w:w="2769" w:type="dxa"/>
            <w:vAlign w:val="center"/>
          </w:tcPr>
          <w:p w14:paraId="16C0662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8.2 社会服务</w:t>
            </w:r>
          </w:p>
        </w:tc>
        <w:tc>
          <w:tcPr>
            <w:tcW w:w="4800" w:type="dxa"/>
            <w:shd w:val="clear" w:color="auto" w:fill="auto"/>
            <w:vAlign w:val="center"/>
          </w:tcPr>
          <w:p w14:paraId="5059FEF2">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1、材料不够系，分类不够清晰，部分社会服务材料应汇总整理。</w:t>
            </w:r>
          </w:p>
        </w:tc>
        <w:tc>
          <w:tcPr>
            <w:tcW w:w="4701" w:type="dxa"/>
            <w:vAlign w:val="center"/>
          </w:tcPr>
          <w:p w14:paraId="66705623">
            <w:pPr>
              <w:jc w:val="left"/>
              <w:rPr>
                <w:rFonts w:hint="default"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8.2所有细项材料分类归总和总结。</w:t>
            </w:r>
          </w:p>
        </w:tc>
      </w:tr>
      <w:tr w14:paraId="2513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270E33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9.社会评价与特色创新</w:t>
            </w:r>
          </w:p>
        </w:tc>
        <w:tc>
          <w:tcPr>
            <w:tcW w:w="2769" w:type="dxa"/>
            <w:vAlign w:val="center"/>
          </w:tcPr>
          <w:p w14:paraId="7462C4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9.1专业竞争力</w:t>
            </w:r>
          </w:p>
        </w:tc>
        <w:tc>
          <w:tcPr>
            <w:tcW w:w="4800" w:type="dxa"/>
            <w:shd w:val="clear" w:color="auto" w:fill="auto"/>
            <w:vAlign w:val="center"/>
          </w:tcPr>
          <w:p w14:paraId="39313427">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1、9.1.1-9.1.3不足，缺乏专业竞争力总结性报告</w:t>
            </w:r>
          </w:p>
        </w:tc>
        <w:tc>
          <w:tcPr>
            <w:tcW w:w="4701" w:type="dxa"/>
            <w:vAlign w:val="center"/>
          </w:tcPr>
          <w:p w14:paraId="5D16EA18">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缺乏专业竞争力，谋划标志性成果建设，及时进行宣传报道，提升专业影响力。</w:t>
            </w:r>
          </w:p>
        </w:tc>
      </w:tr>
      <w:tr w14:paraId="62A3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5860321">
            <w:pPr>
              <w:jc w:val="left"/>
              <w:rPr>
                <w:rFonts w:hint="eastAsia" w:ascii="仿宋" w:hAnsi="仿宋" w:eastAsia="仿宋" w:cs="仿宋"/>
                <w:sz w:val="24"/>
                <w:szCs w:val="24"/>
                <w:vertAlign w:val="baseline"/>
                <w:lang w:val="en-US" w:eastAsia="zh-CN"/>
              </w:rPr>
            </w:pPr>
          </w:p>
        </w:tc>
        <w:tc>
          <w:tcPr>
            <w:tcW w:w="2769" w:type="dxa"/>
            <w:vAlign w:val="center"/>
          </w:tcPr>
          <w:p w14:paraId="7E17237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9.2 专业招生</w:t>
            </w:r>
          </w:p>
        </w:tc>
        <w:tc>
          <w:tcPr>
            <w:tcW w:w="4800" w:type="dxa"/>
            <w:shd w:val="clear" w:color="auto" w:fill="auto"/>
            <w:vAlign w:val="center"/>
          </w:tcPr>
          <w:p w14:paraId="0763F705">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1、招生计划完成100%，报到率为91.18%。</w:t>
            </w:r>
          </w:p>
        </w:tc>
        <w:tc>
          <w:tcPr>
            <w:tcW w:w="4701" w:type="dxa"/>
            <w:vAlign w:val="center"/>
          </w:tcPr>
          <w:p w14:paraId="3622C15A">
            <w:pPr>
              <w:jc w:val="left"/>
              <w:rPr>
                <w:rFonts w:hint="eastAsia" w:ascii="仿宋" w:hAnsi="仿宋" w:eastAsia="仿宋" w:cs="仿宋"/>
                <w:sz w:val="24"/>
                <w:szCs w:val="24"/>
                <w:vertAlign w:val="baseline"/>
                <w:lang w:val="en-US" w:eastAsia="zh-CN"/>
              </w:rPr>
            </w:pPr>
          </w:p>
        </w:tc>
      </w:tr>
      <w:tr w14:paraId="0612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5F8C5DD">
            <w:pPr>
              <w:jc w:val="left"/>
              <w:rPr>
                <w:rFonts w:hint="eastAsia" w:ascii="仿宋" w:hAnsi="仿宋" w:eastAsia="仿宋" w:cs="仿宋"/>
                <w:sz w:val="24"/>
                <w:szCs w:val="24"/>
                <w:vertAlign w:val="baseline"/>
                <w:lang w:val="en-US" w:eastAsia="zh-CN"/>
              </w:rPr>
            </w:pPr>
          </w:p>
        </w:tc>
        <w:tc>
          <w:tcPr>
            <w:tcW w:w="2769" w:type="dxa"/>
            <w:vAlign w:val="center"/>
          </w:tcPr>
          <w:p w14:paraId="007BA23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9.3 特色创新</w:t>
            </w:r>
          </w:p>
        </w:tc>
        <w:tc>
          <w:tcPr>
            <w:tcW w:w="4800" w:type="dxa"/>
            <w:shd w:val="clear" w:color="auto" w:fill="auto"/>
            <w:vAlign w:val="center"/>
          </w:tcPr>
          <w:p w14:paraId="1C0FE9FF">
            <w:pPr>
              <w:keepNext w:val="0"/>
              <w:keepLines w:val="0"/>
              <w:widowControl/>
              <w:suppressLineNumbers w:val="0"/>
              <w:jc w:val="both"/>
              <w:textAlignment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i w:val="0"/>
                <w:iCs w:val="0"/>
                <w:color w:val="000000"/>
                <w:kern w:val="0"/>
                <w:sz w:val="24"/>
                <w:szCs w:val="24"/>
                <w:u w:val="none"/>
                <w:lang w:val="en-US" w:eastAsia="zh-CN" w:bidi="ar"/>
              </w:rPr>
              <w:t>1、特色证明材料少</w:t>
            </w:r>
          </w:p>
        </w:tc>
        <w:tc>
          <w:tcPr>
            <w:tcW w:w="4701" w:type="dxa"/>
            <w:vAlign w:val="center"/>
          </w:tcPr>
          <w:p w14:paraId="6195DA74">
            <w:pPr>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及时补充佐证，将佐证进行总结和提炼，不能只提供佐证图片</w:t>
            </w:r>
          </w:p>
        </w:tc>
      </w:tr>
    </w:tbl>
    <w:p w14:paraId="38778BB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仿宋" w:hAnsi="仿宋" w:eastAsia="仿宋" w:cs="仿宋"/>
          <w:b/>
          <w:bCs/>
          <w:sz w:val="30"/>
          <w:szCs w:val="30"/>
          <w:u w:val="none"/>
          <w:lang w:val="en-US" w:eastAsia="zh-CN"/>
        </w:rPr>
      </w:pPr>
      <w:r>
        <w:rPr>
          <w:rFonts w:hint="eastAsia" w:ascii="仿宋" w:hAnsi="仿宋" w:eastAsia="仿宋" w:cs="仿宋"/>
          <w:b/>
          <w:bCs/>
          <w:sz w:val="30"/>
          <w:szCs w:val="30"/>
          <w:lang w:val="en-US" w:eastAsia="zh-CN"/>
        </w:rPr>
        <w:t>专家签字：</w:t>
      </w:r>
      <w:r>
        <w:rPr>
          <w:rFonts w:hint="eastAsia" w:ascii="仿宋" w:hAnsi="仿宋" w:eastAsia="仿宋" w:cs="仿宋"/>
          <w:b/>
          <w:bCs/>
          <w:sz w:val="30"/>
          <w:szCs w:val="30"/>
          <w:u w:val="single"/>
          <w:lang w:val="en-US" w:eastAsia="zh-CN"/>
        </w:rPr>
        <w:t xml:space="preserve">                      </w:t>
      </w:r>
      <w:r>
        <w:rPr>
          <w:rFonts w:hint="eastAsia" w:ascii="仿宋" w:hAnsi="仿宋" w:eastAsia="仿宋" w:cs="仿宋"/>
          <w:b/>
          <w:bCs/>
          <w:sz w:val="30"/>
          <w:szCs w:val="30"/>
          <w:u w:val="none"/>
          <w:lang w:val="en-US" w:eastAsia="zh-CN"/>
        </w:rPr>
        <w:t xml:space="preserve">                                               </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年</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月</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日</w:t>
      </w:r>
    </w:p>
    <w:sectPr>
      <w:footerReference r:id="rId3" w:type="default"/>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395C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141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A141A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18067FB"/>
    <w:rsid w:val="019601E9"/>
    <w:rsid w:val="02033B37"/>
    <w:rsid w:val="068A3C77"/>
    <w:rsid w:val="06B420CE"/>
    <w:rsid w:val="07733550"/>
    <w:rsid w:val="078C5CC0"/>
    <w:rsid w:val="0A621193"/>
    <w:rsid w:val="0C5A28A2"/>
    <w:rsid w:val="0CF815A1"/>
    <w:rsid w:val="0D7D76F3"/>
    <w:rsid w:val="0DF20A80"/>
    <w:rsid w:val="0E4017EB"/>
    <w:rsid w:val="0E437F6A"/>
    <w:rsid w:val="0F2869DD"/>
    <w:rsid w:val="0FB34043"/>
    <w:rsid w:val="0FD93085"/>
    <w:rsid w:val="121D084B"/>
    <w:rsid w:val="12436BDC"/>
    <w:rsid w:val="14A112E9"/>
    <w:rsid w:val="157B3666"/>
    <w:rsid w:val="16CC764A"/>
    <w:rsid w:val="19E00417"/>
    <w:rsid w:val="1C153271"/>
    <w:rsid w:val="1C7F5C84"/>
    <w:rsid w:val="1D8D136A"/>
    <w:rsid w:val="216210EE"/>
    <w:rsid w:val="237B96F0"/>
    <w:rsid w:val="23CD1B9C"/>
    <w:rsid w:val="27745346"/>
    <w:rsid w:val="28534982"/>
    <w:rsid w:val="28B82217"/>
    <w:rsid w:val="2C153E60"/>
    <w:rsid w:val="2ED66191"/>
    <w:rsid w:val="2F0927C4"/>
    <w:rsid w:val="30803872"/>
    <w:rsid w:val="30D50061"/>
    <w:rsid w:val="30E8537C"/>
    <w:rsid w:val="31A70BEE"/>
    <w:rsid w:val="336631F3"/>
    <w:rsid w:val="338A2E09"/>
    <w:rsid w:val="37585528"/>
    <w:rsid w:val="38AA5930"/>
    <w:rsid w:val="39C600B1"/>
    <w:rsid w:val="3AA54C5D"/>
    <w:rsid w:val="3B380F96"/>
    <w:rsid w:val="3B387197"/>
    <w:rsid w:val="3C4146B4"/>
    <w:rsid w:val="3EE33949"/>
    <w:rsid w:val="3EFC2A3B"/>
    <w:rsid w:val="42051E29"/>
    <w:rsid w:val="422E565D"/>
    <w:rsid w:val="42873FC2"/>
    <w:rsid w:val="428756D7"/>
    <w:rsid w:val="442F1224"/>
    <w:rsid w:val="45CE121D"/>
    <w:rsid w:val="47C671F3"/>
    <w:rsid w:val="484633DC"/>
    <w:rsid w:val="4A574735"/>
    <w:rsid w:val="4AB15AD9"/>
    <w:rsid w:val="4B9E0B8A"/>
    <w:rsid w:val="4E1676D8"/>
    <w:rsid w:val="4EF75970"/>
    <w:rsid w:val="508242AB"/>
    <w:rsid w:val="528559E5"/>
    <w:rsid w:val="52CE00F9"/>
    <w:rsid w:val="53852DC9"/>
    <w:rsid w:val="53B03B2E"/>
    <w:rsid w:val="55F63E39"/>
    <w:rsid w:val="56AB745C"/>
    <w:rsid w:val="57A07595"/>
    <w:rsid w:val="57B31CBB"/>
    <w:rsid w:val="5C073EE9"/>
    <w:rsid w:val="5EA467FA"/>
    <w:rsid w:val="5EC7271C"/>
    <w:rsid w:val="5EEF41A8"/>
    <w:rsid w:val="5F311100"/>
    <w:rsid w:val="5F85532D"/>
    <w:rsid w:val="5FAD406B"/>
    <w:rsid w:val="613B73A4"/>
    <w:rsid w:val="63267BA3"/>
    <w:rsid w:val="63A038CC"/>
    <w:rsid w:val="64782954"/>
    <w:rsid w:val="64E4741F"/>
    <w:rsid w:val="66EE67B3"/>
    <w:rsid w:val="682D26EC"/>
    <w:rsid w:val="68590B89"/>
    <w:rsid w:val="69272501"/>
    <w:rsid w:val="69B439CD"/>
    <w:rsid w:val="69B44986"/>
    <w:rsid w:val="6A9C6447"/>
    <w:rsid w:val="6F0B0ED8"/>
    <w:rsid w:val="6F82537A"/>
    <w:rsid w:val="700215D2"/>
    <w:rsid w:val="707E5720"/>
    <w:rsid w:val="72031631"/>
    <w:rsid w:val="737B116B"/>
    <w:rsid w:val="767A46DD"/>
    <w:rsid w:val="786B271D"/>
    <w:rsid w:val="787A12EA"/>
    <w:rsid w:val="7A980244"/>
    <w:rsid w:val="7AF87445"/>
    <w:rsid w:val="7BB86392"/>
    <w:rsid w:val="7E047FC1"/>
    <w:rsid w:val="7F143DC8"/>
    <w:rsid w:val="7F7A235A"/>
    <w:rsid w:val="F6FF9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1468</Words>
  <Characters>1634</Characters>
  <Lines>0</Lines>
  <Paragraphs>0</Paragraphs>
  <TotalTime>75</TotalTime>
  <ScaleCrop>false</ScaleCrop>
  <LinksUpToDate>false</LinksUpToDate>
  <CharactersWithSpaces>1852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2025-04-24T09:50:00Z</dcterms:created>
  <dc:creator>心云间</dc:creator>
  <cp:lastModifiedBy>一半</cp:lastModifiedBy>
  <dcterms:modified xsi:type="dcterms:W3CDTF">2025-11-20T06:35:17Z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961AED2A544A4C8C903E16F9CE7925F6_11</vt:lpwstr>
  </property>
  <property fmtid="{D5CDD505-2E9C-101B-9397-08002B2CF9AE}" pid="4" name="KSOTemplateDocerSaveRecord">
    <vt:lpwstr>eyJoZGlkIjoiOGZkOTc2N2JjMGUyMmEyMTk1ZDRlNzNiNDM5ZTI4NWEiLCJ1c2VySWQiOiIxMTM3MTQ0OTYzIn0=</vt:lpwstr>
  </property>
</Properties>
</file>