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F4682">
      <w:pPr>
        <w:keepNext w:val="0"/>
        <w:keepLines w:val="0"/>
        <w:pageBreakBefore w:val="0"/>
        <w:widowControl w:val="0"/>
        <w:kinsoku/>
        <w:wordWrap/>
        <w:overflowPunct/>
        <w:topLinePunct w:val="0"/>
        <w:autoSpaceDE/>
        <w:autoSpaceDN/>
        <w:bidi w:val="0"/>
        <w:adjustRightInd/>
        <w:snapToGrid w:val="0"/>
        <w:textAlignment w:val="auto"/>
        <w:rPr>
          <w:rFonts w:hint="eastAsia" w:ascii="仿宋" w:hAnsi="仿宋" w:eastAsia="仿宋" w:cs="仿宋"/>
          <w:sz w:val="30"/>
          <w:szCs w:val="30"/>
          <w:lang w:val="en-US" w:eastAsia="zh-CN"/>
        </w:rPr>
      </w:pPr>
      <w:bookmarkStart w:id="4" w:name="_GoBack"/>
      <w:bookmarkEnd w:id="4"/>
      <w:r>
        <w:rPr>
          <w:rFonts w:hint="eastAsia" w:ascii="仿宋" w:hAnsi="仿宋" w:eastAsia="仿宋" w:cs="仿宋"/>
          <w:sz w:val="30"/>
          <w:szCs w:val="30"/>
          <w:lang w:val="en-US" w:eastAsia="zh-CN"/>
        </w:rPr>
        <w:t>附件1：</w:t>
      </w:r>
    </w:p>
    <w:p w14:paraId="182546DA">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福州英华职业学院专业诊断与改进评估专家评估问题清单及整改建议</w:t>
      </w:r>
    </w:p>
    <w:p w14:paraId="428D903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系部：</w:t>
      </w:r>
      <w:r>
        <w:rPr>
          <w:rFonts w:hint="eastAsia" w:ascii="仿宋" w:hAnsi="仿宋" w:eastAsia="仿宋" w:cs="仿宋"/>
          <w:b/>
          <w:bCs/>
          <w:sz w:val="24"/>
          <w:szCs w:val="24"/>
          <w:u w:val="single"/>
          <w:lang w:val="en-US" w:eastAsia="zh-CN"/>
        </w:rPr>
        <w:t xml:space="preserve">           经济管理系                    </w:t>
      </w:r>
      <w:r>
        <w:rPr>
          <w:rFonts w:hint="eastAsia" w:ascii="仿宋" w:hAnsi="仿宋" w:eastAsia="仿宋" w:cs="仿宋"/>
          <w:b/>
          <w:bCs/>
          <w:sz w:val="24"/>
          <w:szCs w:val="24"/>
          <w:lang w:val="en-US" w:eastAsia="zh-CN"/>
        </w:rPr>
        <w:t xml:space="preserve">                                   专业：</w:t>
      </w:r>
      <w:r>
        <w:rPr>
          <w:rFonts w:hint="eastAsia" w:ascii="仿宋" w:hAnsi="仿宋" w:eastAsia="仿宋" w:cs="仿宋"/>
          <w:b/>
          <w:bCs/>
          <w:sz w:val="24"/>
          <w:szCs w:val="24"/>
          <w:u w:val="single"/>
          <w:lang w:val="en-US" w:eastAsia="zh-CN"/>
        </w:rPr>
        <w:t xml:space="preserve">      大数据与会计               </w:t>
      </w:r>
      <w:r>
        <w:rPr>
          <w:rFonts w:hint="eastAsia" w:ascii="仿宋" w:hAnsi="仿宋" w:eastAsia="仿宋" w:cs="仿宋"/>
          <w:b/>
          <w:bCs/>
          <w:sz w:val="24"/>
          <w:szCs w:val="24"/>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183"/>
        <w:gridCol w:w="4581"/>
        <w:gridCol w:w="5506"/>
      </w:tblGrid>
      <w:tr w14:paraId="45AA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950" w:type="dxa"/>
            <w:vAlign w:val="center"/>
          </w:tcPr>
          <w:p w14:paraId="09669602">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一级指标</w:t>
            </w:r>
          </w:p>
        </w:tc>
        <w:tc>
          <w:tcPr>
            <w:tcW w:w="2183" w:type="dxa"/>
            <w:vAlign w:val="center"/>
          </w:tcPr>
          <w:p w14:paraId="4933DF92">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二级指标</w:t>
            </w:r>
          </w:p>
        </w:tc>
        <w:tc>
          <w:tcPr>
            <w:tcW w:w="4581" w:type="dxa"/>
            <w:vAlign w:val="center"/>
          </w:tcPr>
          <w:p w14:paraId="50E1858B">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问题表述</w:t>
            </w:r>
          </w:p>
        </w:tc>
        <w:tc>
          <w:tcPr>
            <w:tcW w:w="5506" w:type="dxa"/>
            <w:vAlign w:val="center"/>
          </w:tcPr>
          <w:p w14:paraId="211EBF6C">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整改建议</w:t>
            </w:r>
          </w:p>
        </w:tc>
      </w:tr>
      <w:tr w14:paraId="25EF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289F09E">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1.专业定位、规划与专业管理</w:t>
            </w:r>
          </w:p>
        </w:tc>
        <w:tc>
          <w:tcPr>
            <w:tcW w:w="2183" w:type="dxa"/>
            <w:vMerge w:val="restart"/>
            <w:vAlign w:val="center"/>
          </w:tcPr>
          <w:p w14:paraId="0D35EF09">
            <w:pPr>
              <w:keepNext w:val="0"/>
              <w:keepLines w:val="0"/>
              <w:pageBreakBefore w:val="0"/>
              <w:widowControl w:val="0"/>
              <w:kinsoku/>
              <w:wordWrap/>
              <w:overflowPunct/>
              <w:topLinePunct w:val="0"/>
              <w:autoSpaceDE/>
              <w:autoSpaceDN/>
              <w:bidi w:val="0"/>
              <w:adjustRightInd/>
              <w:snapToGrid w:val="0"/>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1.2专业定位</w:t>
            </w:r>
          </w:p>
        </w:tc>
        <w:tc>
          <w:tcPr>
            <w:tcW w:w="4581" w:type="dxa"/>
            <w:vAlign w:val="center"/>
          </w:tcPr>
          <w:p w14:paraId="199A3B7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1、从人才培养方案中可看出将培养目标仍主要是面向“事后核算”的财务会计，而非服务于“事前预测、事中控制、事后分析”的业务会计，聚焦于小企业具体岗位群不足。</w:t>
            </w:r>
          </w:p>
        </w:tc>
        <w:tc>
          <w:tcPr>
            <w:tcW w:w="5506" w:type="dxa"/>
            <w:vMerge w:val="restart"/>
            <w:vAlign w:val="center"/>
          </w:tcPr>
          <w:p w14:paraId="47568D0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1、将培养目标从面向“事后核算”的财务会计，明确转向服务于“事前预测、事中控制、事后分析”的业务会计。</w:t>
            </w:r>
          </w:p>
          <w:p w14:paraId="6BA6ADC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2、瞄准细分领域：依据人才培养方案，聚焦于中小企业财税管家、制造业成本控制助理、数字化审计助理等具体岗位群。</w:t>
            </w:r>
          </w:p>
          <w:p w14:paraId="69DAD01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3、明确承认并拥抱会计软件、财务共享中心、AI</w:t>
            </w:r>
          </w:p>
          <w:p w14:paraId="6E5C8F5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智能审单等技术的发展。强化技术应用、流程熟悉</w:t>
            </w:r>
          </w:p>
          <w:p w14:paraId="173499A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和业务场景实践。</w:t>
            </w:r>
          </w:p>
          <w:p w14:paraId="7E35325B">
            <w:pPr>
              <w:keepNext w:val="0"/>
              <w:keepLines w:val="0"/>
              <w:widowControl/>
              <w:numPr>
                <w:ilvl w:val="0"/>
                <w:numId w:val="1"/>
              </w:numPr>
              <w:suppressLineNumbers w:val="0"/>
              <w:jc w:val="both"/>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构建专业群内各专业密切融合的专业特色</w:t>
            </w:r>
          </w:p>
          <w:p w14:paraId="197A7238">
            <w:pPr>
              <w:keepNext w:val="0"/>
              <w:keepLines w:val="0"/>
              <w:widowControl/>
              <w:numPr>
                <w:ilvl w:val="0"/>
                <w:numId w:val="1"/>
              </w:numPr>
              <w:suppressLineNumbers w:val="0"/>
              <w:jc w:val="both"/>
              <w:textAlignment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教学的基础要扎实，加大实践力度，实现与理论知识融会贯通</w:t>
            </w:r>
          </w:p>
        </w:tc>
      </w:tr>
      <w:tr w14:paraId="61E3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CC5C8BF">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08FD0C76">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2888DB19">
            <w:pPr>
              <w:keepNext w:val="0"/>
              <w:keepLines w:val="0"/>
              <w:widowControl/>
              <w:numPr>
                <w:ilvl w:val="0"/>
                <w:numId w:val="2"/>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从“手工操作”向“人机协同”与“数据赋能”转型仍不足。</w:t>
            </w:r>
          </w:p>
          <w:p w14:paraId="1B04C6F7">
            <w:pPr>
              <w:keepNext w:val="0"/>
              <w:keepLines w:val="0"/>
              <w:widowControl/>
              <w:numPr>
                <w:ilvl w:val="0"/>
                <w:numId w:val="2"/>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专业定位如何体现以电子商务专业为核心主导、会计专业为有力辅助的专业群？</w:t>
            </w:r>
          </w:p>
          <w:p w14:paraId="37200FB7">
            <w:pPr>
              <w:keepNext w:val="0"/>
              <w:keepLines w:val="0"/>
              <w:widowControl/>
              <w:numPr>
                <w:ilvl w:val="0"/>
                <w:numId w:val="2"/>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如何解决行业转型中核算与管理、技术赋能、数据驱动的矛盾？</w:t>
            </w:r>
          </w:p>
        </w:tc>
        <w:tc>
          <w:tcPr>
            <w:tcW w:w="5506" w:type="dxa"/>
            <w:vMerge w:val="continue"/>
            <w:vAlign w:val="center"/>
          </w:tcPr>
          <w:p w14:paraId="6526CE49">
            <w:pPr>
              <w:jc w:val="center"/>
              <w:rPr>
                <w:rFonts w:hint="eastAsia" w:ascii="仿宋" w:hAnsi="仿宋" w:eastAsia="仿宋" w:cs="仿宋"/>
                <w:sz w:val="24"/>
                <w:szCs w:val="24"/>
                <w:vertAlign w:val="baseline"/>
                <w:lang w:val="en-US" w:eastAsia="zh-CN"/>
              </w:rPr>
            </w:pPr>
          </w:p>
        </w:tc>
      </w:tr>
      <w:tr w14:paraId="4444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1950" w:type="dxa"/>
            <w:vMerge w:val="continue"/>
            <w:vAlign w:val="center"/>
          </w:tcPr>
          <w:p w14:paraId="39201EB9">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1E340EE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bookmarkStart w:id="0" w:name="OLE_LINK3"/>
            <w:r>
              <w:rPr>
                <w:rFonts w:hint="eastAsia" w:ascii="仿宋" w:hAnsi="仿宋" w:eastAsia="仿宋" w:cs="仿宋"/>
                <w:sz w:val="24"/>
                <w:szCs w:val="24"/>
                <w:vertAlign w:val="baseline"/>
                <w:lang w:val="en-US" w:eastAsia="zh-CN"/>
              </w:rPr>
              <w:t>1.2专业规划</w:t>
            </w:r>
            <w:bookmarkEnd w:id="0"/>
          </w:p>
        </w:tc>
        <w:tc>
          <w:tcPr>
            <w:tcW w:w="4581" w:type="dxa"/>
            <w:vAlign w:val="center"/>
          </w:tcPr>
          <w:p w14:paraId="17DE20B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1、专业自身的资源整合与优化策略不具体，未详细说明如何在师资、课程、实践教学等方面实现高效配置与创新升级；在 课程体系重构、 深化“岗课赛证”综合育人机制、 建立专业动态调整的“预警机制”等方面规划不足。</w:t>
            </w:r>
          </w:p>
        </w:tc>
        <w:tc>
          <w:tcPr>
            <w:tcW w:w="5506" w:type="dxa"/>
            <w:vMerge w:val="restart"/>
            <w:vAlign w:val="center"/>
          </w:tcPr>
          <w:p w14:paraId="3A0E3F00">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打造一个能够随技术迭代而“动态演进”的现代课程与教学体系。</w:t>
            </w:r>
          </w:p>
          <w:p w14:paraId="592D132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课程体系重构：构建“底层共享、中层分立、高层互选”的模块化课程；</w:t>
            </w:r>
          </w:p>
          <w:p w14:paraId="3CA2316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深化“岗课赛证”综合育人机制：</w:t>
            </w:r>
          </w:p>
          <w:p w14:paraId="34041C1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岗课融合：课程内容直接来源于合作企业真实岗位任务；赛课融合：将“会计技能大赛”、“智能财税大赛”、“ERP沙盘模拟”等赛项的内容和标准融入日常教学，以赛促学，以赛促教；证课融合：将 会计专业技术资格证书和“1+X”证书内容完全融入课程，实现书证融通，让学生毕业时手持“学历证书+多项职业技能等级证书”，增强就业竞争力；建立专业动态调整的“预警机制”，定期（如每学年）调研招聘网站对会计相关岗位的技能要求变化，跟踪财税政策与技术的更新，并据此快速调整课程模块和教学内容，确保教学不滞后于市场。</w:t>
            </w:r>
          </w:p>
          <w:p w14:paraId="65C9E279">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3、可否试点分方向或者选修课来实现精准契合本地制造业、服务业、财税服务行业，与行业有效对接</w:t>
            </w:r>
          </w:p>
        </w:tc>
      </w:tr>
      <w:tr w14:paraId="50C0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95BBE71">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2DA9896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71088AD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2、规划目标的预期成果缺乏量化指标和阶段性评估标准，如人才培养质量提升方面</w:t>
            </w:r>
          </w:p>
          <w:p w14:paraId="07C4C1E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仅提及就业率、职业资格证通过率、专升本录取率稳中有升，未明确具体提升幅度与评估时间节点，不利于监测和调整实施效果。</w:t>
            </w:r>
          </w:p>
          <w:p w14:paraId="795C168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3、大数据与会计，财务管理、财税大数据应用，会计信息管理是三大专业方向，可否构建为专业群？</w:t>
            </w:r>
          </w:p>
        </w:tc>
        <w:tc>
          <w:tcPr>
            <w:tcW w:w="5506" w:type="dxa"/>
            <w:vMerge w:val="continue"/>
            <w:vAlign w:val="center"/>
          </w:tcPr>
          <w:p w14:paraId="08E399E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5C21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05BB931">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6282EA9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1.3专业建设管理</w:t>
            </w:r>
          </w:p>
        </w:tc>
        <w:tc>
          <w:tcPr>
            <w:tcW w:w="4581" w:type="dxa"/>
            <w:shd w:val="clear" w:color="auto" w:fill="auto"/>
            <w:vAlign w:val="center"/>
          </w:tcPr>
          <w:p w14:paraId="7A26A34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1、实践教学质量监控体系的反馈机制不健全，虽已建立该体系，但缺乏将监控结</w:t>
            </w:r>
          </w:p>
          <w:p w14:paraId="440B03C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果及时有效反馈给师生并推动其改进教与学的明确流程和措施，导致监控体系实际作用未充分发挥。</w:t>
            </w:r>
          </w:p>
        </w:tc>
        <w:tc>
          <w:tcPr>
            <w:tcW w:w="5506" w:type="dxa"/>
            <w:vMerge w:val="restart"/>
            <w:vAlign w:val="center"/>
          </w:tcPr>
          <w:p w14:paraId="4ECB6D80">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打造“双师型团队+虚实结合场景+持续改进质保”的支撑体系</w:t>
            </w:r>
          </w:p>
          <w:p w14:paraId="436D3CB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师资队伍：建设“双向流动、结构合理”的混编教学团队</w:t>
            </w:r>
          </w:p>
          <w:p w14:paraId="60CE5406">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通过“引进来”：从财务共享中心、代理记账公司、知名企业财务部等一线领域，引进或柔性聘请技术骨干担任产业导师，承担核心实践课程教学；“走出去”：严格执行教师每年到企业实践制度，实践基地应优先选择正在应用最新财税技术的企业。教师实践成果（如开发的案例、解决的技术难题）应纳入绩效考核；组建“课程组”：针对核心课程模块，成立由校内专任教师与企业导师共同组成的课程组，共同制定标准、共同备课、共同授课、共同评价。</w:t>
            </w:r>
          </w:p>
          <w:p w14:paraId="3C5B0BD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实践教学体系：构建“虚拟仿真+真账实操”相结合的递进式实训体系</w:t>
            </w:r>
          </w:p>
          <w:p w14:paraId="2FE41AE9">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虚拟仿真层：引入或合作开发“财务机器人模拟平台”、“虚拟商业社会环境”等软件，让学生在高度仿真的环境中熟悉标准化流程和处理规则。</w:t>
            </w:r>
          </w:p>
          <w:p w14:paraId="7BD0E95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真账实操层：这是高职会计的“生命线”。</w:t>
            </w:r>
          </w:p>
          <w:p w14:paraId="53C7B6D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校内生产性实训：与知名代账公司合作，在校内建立“记账工场”，在企业导师和专任教师指导下，承接本地中小微企业的真实代账业务。</w:t>
            </w:r>
          </w:p>
          <w:p w14:paraId="0281D4D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校外顶岗实习：与多家企业建立稳定合作关系，确保学生能在真实岗位上完成顶岗实习。</w:t>
            </w:r>
          </w:p>
          <w:p w14:paraId="7F9BBEA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 质量管理与持续改进：建立基于数据的“评价-反馈-改进”闭环</w:t>
            </w:r>
          </w:p>
          <w:p w14:paraId="5F5CFC1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多元化评价主体：改变单一的教师评价，引入企业导师评价、系统自动评价（实训软件）、客户评价（真实代账业务）以及第三方评价（如证书通过率、大赛成绩）。</w:t>
            </w:r>
          </w:p>
          <w:p w14:paraId="4ADEF6B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跟踪毕业生发展：建立毕业生职业发展档案，追踪其岗位变迁、薪资变化和职业成长，这些数据是评价专业培养成效和进行下一步改革的最重要依据。</w:t>
            </w:r>
          </w:p>
          <w:p w14:paraId="46FCB3A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定期专业自诊：每年召开专业建设委员会会议（成员须包括行业企业专家、毕业生代表），对照人才培养目标，分析各项数据，找出差距，制定下一年度的改进措施并严格执行。</w:t>
            </w:r>
          </w:p>
          <w:p w14:paraId="6E00ED4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4、多采用适合学生的PBL、SCL教学模式，工学结合</w:t>
            </w:r>
          </w:p>
        </w:tc>
      </w:tr>
      <w:tr w14:paraId="6532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4E4E5E7">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0EAF2F5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shd w:val="clear" w:color="auto" w:fill="auto"/>
            <w:vAlign w:val="center"/>
          </w:tcPr>
          <w:p w14:paraId="1D5CD85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2、专业建设管理中信息化技术应用不全面，数字化背景下虽有部分信息化教学手段，但在专业调研、课程设计、教学评价等环节应用的深度和广度不足，未能借助大数据实现精细化管理。</w:t>
            </w:r>
          </w:p>
          <w:p w14:paraId="38B97E81">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3、如何解决在技术进步背景下，突破高职学生只会操作，不知原理的瓶颈？</w:t>
            </w:r>
          </w:p>
        </w:tc>
        <w:tc>
          <w:tcPr>
            <w:tcW w:w="5506" w:type="dxa"/>
            <w:vMerge w:val="continue"/>
            <w:vAlign w:val="center"/>
          </w:tcPr>
          <w:p w14:paraId="1829E7E5">
            <w:pPr>
              <w:jc w:val="center"/>
              <w:rPr>
                <w:rFonts w:hint="eastAsia" w:ascii="仿宋" w:hAnsi="仿宋" w:eastAsia="仿宋" w:cs="仿宋"/>
                <w:sz w:val="24"/>
                <w:szCs w:val="24"/>
                <w:vertAlign w:val="baseline"/>
                <w:lang w:val="en-US" w:eastAsia="zh-CN"/>
              </w:rPr>
            </w:pPr>
          </w:p>
        </w:tc>
      </w:tr>
      <w:tr w14:paraId="71AD0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011334EF">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2、人才培养方案</w:t>
            </w:r>
          </w:p>
        </w:tc>
        <w:tc>
          <w:tcPr>
            <w:tcW w:w="2183" w:type="dxa"/>
            <w:vAlign w:val="center"/>
          </w:tcPr>
          <w:p w14:paraId="66F5D85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2.1培养人才目标</w:t>
            </w:r>
          </w:p>
        </w:tc>
        <w:tc>
          <w:tcPr>
            <w:tcW w:w="4581" w:type="dxa"/>
            <w:vAlign w:val="center"/>
          </w:tcPr>
          <w:p w14:paraId="64DCA1B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25年人才培养方案中确定的培养目标严格依据大数据与会计专业教学标准（高等职业教育专科）来确定。但在不同的文件（如自评报告、人才培养方案等文件）是对培养目标有不同的的描述。</w:t>
            </w:r>
          </w:p>
          <w:p w14:paraId="0D0891B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企业经济业务核算、企业会计风险控制、财务审计、企业成本计算与管控、企业财务大数据分析、企业会计信息管理及税费申报与管理表述特别是控制、审计、管控、分析、管理等字眼和本科水平有区别吗？</w:t>
            </w:r>
          </w:p>
        </w:tc>
        <w:tc>
          <w:tcPr>
            <w:tcW w:w="5506" w:type="dxa"/>
            <w:vAlign w:val="center"/>
          </w:tcPr>
          <w:p w14:paraId="61B14A7D">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统一对人才培养目标的描述</w:t>
            </w:r>
          </w:p>
        </w:tc>
      </w:tr>
      <w:tr w14:paraId="60D5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FAC4E63">
            <w:pPr>
              <w:jc w:val="center"/>
              <w:rPr>
                <w:rFonts w:hint="eastAsia" w:ascii="仿宋" w:hAnsi="仿宋" w:eastAsia="仿宋" w:cs="仿宋"/>
                <w:sz w:val="24"/>
                <w:szCs w:val="24"/>
                <w:vertAlign w:val="baseline"/>
                <w:lang w:val="en-US" w:eastAsia="zh-CN"/>
              </w:rPr>
            </w:pPr>
          </w:p>
        </w:tc>
        <w:tc>
          <w:tcPr>
            <w:tcW w:w="2183" w:type="dxa"/>
            <w:vAlign w:val="center"/>
          </w:tcPr>
          <w:p w14:paraId="6D305AE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2.2人才培养模式</w:t>
            </w:r>
          </w:p>
        </w:tc>
        <w:tc>
          <w:tcPr>
            <w:tcW w:w="4581" w:type="dxa"/>
            <w:vAlign w:val="center"/>
          </w:tcPr>
          <w:p w14:paraId="1C5F52B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人才培养模式是实现培养目标的“桥和船”，在25年人帮培养方案中已确定了创建“能力导向、实践驱动、循环递进”的人才培养模式，但在不同的文件是对人才培养模式有不同的的描述。如“</w:t>
            </w:r>
            <w:r>
              <w:rPr>
                <w:rFonts w:hint="default" w:ascii="仿宋" w:hAnsi="仿宋" w:eastAsia="仿宋" w:cs="仿宋"/>
                <w:i w:val="0"/>
                <w:iCs w:val="0"/>
                <w:color w:val="000000"/>
                <w:kern w:val="0"/>
                <w:sz w:val="24"/>
                <w:szCs w:val="24"/>
                <w:u w:val="none"/>
                <w:lang w:val="en-US" w:eastAsia="zh-CN" w:bidi="ar"/>
              </w:rPr>
              <w:t>构建“学练赛训”四位一体培养模式</w:t>
            </w:r>
            <w:r>
              <w:rPr>
                <w:rFonts w:hint="eastAsia" w:ascii="仿宋" w:hAnsi="仿宋" w:eastAsia="仿宋" w:cs="仿宋"/>
                <w:i w:val="0"/>
                <w:iCs w:val="0"/>
                <w:color w:val="000000"/>
                <w:kern w:val="0"/>
                <w:sz w:val="24"/>
                <w:szCs w:val="24"/>
                <w:u w:val="none"/>
                <w:lang w:val="en-US" w:eastAsia="zh-CN" w:bidi="ar"/>
              </w:rPr>
              <w:t>”、“工学结合人才培养模式”。</w:t>
            </w:r>
          </w:p>
          <w:p w14:paraId="0CCDC41B">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“学练赛训”四位一体培养模式，特色在人才培养方案中如何体现？</w:t>
            </w:r>
          </w:p>
        </w:tc>
        <w:tc>
          <w:tcPr>
            <w:tcW w:w="5506" w:type="dxa"/>
            <w:vAlign w:val="center"/>
          </w:tcPr>
          <w:p w14:paraId="673F25D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统一对人才培养模式的描述</w:t>
            </w:r>
          </w:p>
        </w:tc>
      </w:tr>
      <w:tr w14:paraId="1846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5144A77">
            <w:pPr>
              <w:jc w:val="center"/>
              <w:rPr>
                <w:rFonts w:hint="eastAsia" w:ascii="仿宋" w:hAnsi="仿宋" w:eastAsia="仿宋" w:cs="仿宋"/>
                <w:sz w:val="24"/>
                <w:szCs w:val="24"/>
                <w:vertAlign w:val="baseline"/>
                <w:lang w:val="en-US" w:eastAsia="zh-CN"/>
              </w:rPr>
            </w:pPr>
          </w:p>
        </w:tc>
        <w:tc>
          <w:tcPr>
            <w:tcW w:w="2183" w:type="dxa"/>
            <w:vAlign w:val="center"/>
          </w:tcPr>
          <w:p w14:paraId="1274D9F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2.3 课程体系</w:t>
            </w:r>
          </w:p>
        </w:tc>
        <w:tc>
          <w:tcPr>
            <w:tcW w:w="4581" w:type="dxa"/>
            <w:vAlign w:val="center"/>
          </w:tcPr>
          <w:p w14:paraId="20C8CF0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25年人才培养方案中确定构建“能力引领、模块晋级、岗课赛证融通”的课程体系，从培养方案中设置的课程难以体现模块化的课程，对证书课程的融入比重不足。</w:t>
            </w:r>
          </w:p>
          <w:p w14:paraId="22BC8FB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p w14:paraId="75E27F4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课程如何体现产教融合？</w:t>
            </w:r>
          </w:p>
        </w:tc>
        <w:tc>
          <w:tcPr>
            <w:tcW w:w="5506" w:type="dxa"/>
            <w:vAlign w:val="center"/>
          </w:tcPr>
          <w:p w14:paraId="66AE80F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在模块晋级中：建立构建“底层共享、中层分立、高层互选”的模块化课程</w:t>
            </w:r>
          </w:p>
          <w:p w14:paraId="719124B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在岗课赛证融通中：</w:t>
            </w:r>
          </w:p>
          <w:p w14:paraId="5A4A717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关注 ：岗是方向：课程内容直接对接智能财税专员、财务数据分析助理、共享中心作业员等目标岗位的能力要求；课是核心：将岗位能力要求、技能大赛标准和“1+X”证书内容解构、重构为模块化的课程内容；赛是标杆：将会计技能大赛、智能财税大赛等赛项的训练方式和评价标准融入日常教学，作为检验教学成果和选拔优秀学生的重要手段；证是凭证：将“智能财税”、“财务共享服务”、“业财一体化信息化应用”等“1+X”证书的考核内容融入课程，将专业技术资格证书考试融入课程，鼓励学生获取多证，提升就业竞争力。</w:t>
            </w:r>
          </w:p>
          <w:p w14:paraId="15E3486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加大实践力度，加强校企合作课程</w:t>
            </w:r>
          </w:p>
        </w:tc>
      </w:tr>
      <w:tr w14:paraId="0304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2496879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3.课程建设</w:t>
            </w:r>
          </w:p>
        </w:tc>
        <w:tc>
          <w:tcPr>
            <w:tcW w:w="2183" w:type="dxa"/>
            <w:vAlign w:val="center"/>
          </w:tcPr>
          <w:p w14:paraId="4C0383F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3.1课程标准</w:t>
            </w:r>
          </w:p>
        </w:tc>
        <w:tc>
          <w:tcPr>
            <w:tcW w:w="4581" w:type="dxa"/>
            <w:vAlign w:val="center"/>
          </w:tcPr>
          <w:p w14:paraId="2C9E832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与职业资格证书标准对接不精准，虽提对接职业岗位标准，但课程内容与证书考试内容匹配度差，未充分体现“1+X”证书内容，专业技术资格证书内容，不利学生考证。</w:t>
            </w:r>
          </w:p>
        </w:tc>
        <w:tc>
          <w:tcPr>
            <w:tcW w:w="5506" w:type="dxa"/>
            <w:vAlign w:val="center"/>
          </w:tcPr>
          <w:p w14:paraId="6CE79B4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将“智能财税”、“财务共享服务”、“业财一体化信息化应用”等“1+X”证书的考核内容融入课程，将专业技术资格证书考试融入课程，鼓励学生获取多证，提升就业竞争力。</w:t>
            </w:r>
          </w:p>
        </w:tc>
      </w:tr>
      <w:tr w14:paraId="2735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D54D27E">
            <w:pPr>
              <w:jc w:val="center"/>
              <w:rPr>
                <w:rFonts w:hint="eastAsia" w:ascii="仿宋" w:hAnsi="仿宋" w:eastAsia="仿宋" w:cs="仿宋"/>
                <w:sz w:val="24"/>
                <w:szCs w:val="24"/>
                <w:vertAlign w:val="baseline"/>
                <w:lang w:val="en-US" w:eastAsia="zh-CN"/>
              </w:rPr>
            </w:pPr>
          </w:p>
        </w:tc>
        <w:tc>
          <w:tcPr>
            <w:tcW w:w="2183" w:type="dxa"/>
            <w:vAlign w:val="center"/>
          </w:tcPr>
          <w:p w14:paraId="41E86C8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3.2课程实施</w:t>
            </w:r>
          </w:p>
        </w:tc>
        <w:tc>
          <w:tcPr>
            <w:tcW w:w="4581" w:type="dxa"/>
            <w:vAlign w:val="center"/>
          </w:tcPr>
          <w:p w14:paraId="45B1F786">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1、教学模式创新推广范围有限，部分课程用线上线下混合式、翻转课堂等模式，但应用比例低、课程间效果差异大，未形成规模化常态。</w:t>
            </w:r>
          </w:p>
        </w:tc>
        <w:tc>
          <w:tcPr>
            <w:tcW w:w="5506" w:type="dxa"/>
            <w:vAlign w:val="center"/>
          </w:tcPr>
          <w:p w14:paraId="22A6C46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课程教学实施中：实现1、从“知识灌输”转向“能力建构”；2、从“教师主导”转向“学生主体”；3、从“虚拟情境”转向“真实（或高度仿真）任务”。在教学方法运用中，从单一的课堂教学到运用项目教学、案例教学、角色扮演到引导文教学等多种方法综合运用。</w:t>
            </w:r>
          </w:p>
        </w:tc>
      </w:tr>
      <w:tr w14:paraId="693B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503DDE2">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3A82318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3.3课程资源</w:t>
            </w:r>
          </w:p>
        </w:tc>
        <w:tc>
          <w:tcPr>
            <w:tcW w:w="4581" w:type="dxa"/>
            <w:vAlign w:val="center"/>
          </w:tcPr>
          <w:p w14:paraId="78C0DAD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1、数字化教学资源整合共享度低，虽有多个学习平台，但整合不完善，资源重复、信息孤岛，学生需切换平台，影响学习效率。</w:t>
            </w:r>
          </w:p>
        </w:tc>
        <w:tc>
          <w:tcPr>
            <w:tcW w:w="5506" w:type="dxa"/>
            <w:vMerge w:val="restart"/>
            <w:vAlign w:val="center"/>
          </w:tcPr>
          <w:p w14:paraId="4EDABC0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1、构建“虚拟职业环境”：将财务软件、税务申报系统、财务共享服务平台、等整合成一个完整的“数字孪生”企业财务部。让学生在此环境中，体验从业务发生到财务报告的全流程，理解数据流和价值流。</w:t>
            </w:r>
          </w:p>
          <w:p w14:paraId="5E2B222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案例与项目资源：校企合作开发“实战案例库”：与合作企业共建，将脱敏后的真实账套、真实业务场景、真实经营难题转化为教学案例；实施“生产性实训”：在校内成立“会计服务中心”，在教师和企业导师指导下，直接承接中小微企业的代理记账、纳税申报等真实业务，让学生在做真事中练真本领；引入“1+X”证书资源：将“智能财税”、“财务共享服务”等职业技能等级标准的培训资源与课程内容深度融合，实现“课证融通”，让学生的学习目标更贴近行业标准。</w:t>
            </w:r>
          </w:p>
          <w:p w14:paraId="4A798037">
            <w:pPr>
              <w:keepNext w:val="0"/>
              <w:keepLines w:val="0"/>
              <w:widowControl/>
              <w:suppressLineNumbers w:val="0"/>
              <w:ind w:firstLine="480" w:firstLineChars="20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鼓励自编特色教材，及时更新补充最新的技术、理论</w:t>
            </w:r>
          </w:p>
        </w:tc>
      </w:tr>
      <w:tr w14:paraId="34ADC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277790B">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38A87A9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1D6E3A3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2、数字化教材建设不足，部分内容未及时反映行业最新政策、技术及案例，更新滞后，难满足教学。</w:t>
            </w:r>
          </w:p>
        </w:tc>
        <w:tc>
          <w:tcPr>
            <w:tcW w:w="5506" w:type="dxa"/>
            <w:vMerge w:val="continue"/>
            <w:vAlign w:val="center"/>
          </w:tcPr>
          <w:p w14:paraId="75F065B7">
            <w:pPr>
              <w:jc w:val="center"/>
              <w:rPr>
                <w:rFonts w:hint="eastAsia" w:ascii="仿宋" w:hAnsi="仿宋" w:eastAsia="仿宋" w:cs="仿宋"/>
                <w:sz w:val="24"/>
                <w:szCs w:val="24"/>
                <w:vertAlign w:val="baseline"/>
                <w:lang w:val="en-US" w:eastAsia="zh-CN"/>
              </w:rPr>
            </w:pPr>
          </w:p>
        </w:tc>
      </w:tr>
      <w:tr w14:paraId="2004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221DA2F">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61A0BE9D">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182DAD48">
            <w:pPr>
              <w:keepNext w:val="0"/>
              <w:keepLines w:val="0"/>
              <w:widowControl/>
              <w:numPr>
                <w:ilvl w:val="0"/>
                <w:numId w:val="3"/>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实践教学资源与企业需求有差距，软件设备与企业实际工具还存在差距。</w:t>
            </w:r>
          </w:p>
          <w:p w14:paraId="50B02D4C">
            <w:pPr>
              <w:keepNext w:val="0"/>
              <w:keepLines w:val="0"/>
              <w:widowControl/>
              <w:numPr>
                <w:ilvl w:val="0"/>
                <w:numId w:val="3"/>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如何突破规划教材与自编教材特色性矛盾？</w:t>
            </w:r>
          </w:p>
        </w:tc>
        <w:tc>
          <w:tcPr>
            <w:tcW w:w="5506" w:type="dxa"/>
            <w:vMerge w:val="continue"/>
            <w:vAlign w:val="center"/>
          </w:tcPr>
          <w:p w14:paraId="04B79E6A">
            <w:pPr>
              <w:jc w:val="center"/>
              <w:rPr>
                <w:rFonts w:hint="eastAsia" w:ascii="仿宋" w:hAnsi="仿宋" w:eastAsia="仿宋" w:cs="仿宋"/>
                <w:sz w:val="24"/>
                <w:szCs w:val="24"/>
                <w:vertAlign w:val="baseline"/>
                <w:lang w:val="en-US" w:eastAsia="zh-CN"/>
              </w:rPr>
            </w:pPr>
          </w:p>
        </w:tc>
      </w:tr>
      <w:tr w14:paraId="6135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4A6113B6">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4.实践教学</w:t>
            </w:r>
          </w:p>
        </w:tc>
        <w:tc>
          <w:tcPr>
            <w:tcW w:w="2183" w:type="dxa"/>
            <w:vAlign w:val="center"/>
          </w:tcPr>
          <w:p w14:paraId="50BDCD2C">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4.1校内实践教学条件</w:t>
            </w:r>
          </w:p>
        </w:tc>
        <w:tc>
          <w:tcPr>
            <w:tcW w:w="4581" w:type="dxa"/>
            <w:vAlign w:val="center"/>
          </w:tcPr>
          <w:p w14:paraId="47055F53">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校内实践基地建设进一步优化，与核心课程、关键技能相对应的实训室建设落后，实训时间不足、实训基地利用率不均衡。</w:t>
            </w:r>
          </w:p>
        </w:tc>
        <w:tc>
          <w:tcPr>
            <w:tcW w:w="5506" w:type="dxa"/>
            <w:vMerge w:val="restart"/>
            <w:vAlign w:val="center"/>
          </w:tcPr>
          <w:p w14:paraId="4A4C0693">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第一层：职业认知与基础技能层（第1-2学期）</w:t>
            </w:r>
          </w:p>
          <w:p w14:paraId="122251C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目标：建立会计职业初步印象，夯实基础操作技能。</w:t>
            </w:r>
          </w:p>
          <w:p w14:paraId="4DD34EE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校内实施：企业参观/专家讲座：感知财务部门工作环境与流程。</w:t>
            </w:r>
          </w:p>
          <w:p w14:paraId="16EE393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校外实施：认知实习。学生到企业进行短期见习，了解企业组织形式、业务流程，直观感受会计信息在企业中的流动。</w:t>
            </w:r>
          </w:p>
          <w:p w14:paraId="34A04829">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第二层：岗位专项技能实训层（第3-4学期）</w:t>
            </w:r>
          </w:p>
          <w:p w14:paraId="493EA9CD">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目标：熟悉核心岗位业务流程，掌握专项操作技能。</w:t>
            </w:r>
          </w:p>
          <w:p w14:paraId="67B3C37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校内实施：</w:t>
            </w:r>
          </w:p>
          <w:p w14:paraId="621D665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分岗位模拟实训：依托教学软件，分别进行出纳业务、成本核算、纳税申报、财务软件操作（如用友、金蝶） 等专项训练。</w:t>
            </w:r>
          </w:p>
          <w:p w14:paraId="5ADE394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引入“1+X”证书内容：将“智能财税”等职业技能等级标准融入实训，实现课证融通。</w:t>
            </w:r>
          </w:p>
          <w:p w14:paraId="7E83EC8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校外实施：跟岗实习。学生在企业导师带领下，辅助完成特定岗位（如费用报销审核、发票认证等）的工作，深度理解岗位职责。</w:t>
            </w:r>
          </w:p>
          <w:p w14:paraId="79E7960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第三层：智能财务综合实训层（第4-5学期）</w:t>
            </w:r>
          </w:p>
          <w:p w14:paraId="3E20FFB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目标：培养业财融合意识与跨岗位综合处理能力，熟悉智能财务工具。</w:t>
            </w:r>
          </w:p>
          <w:p w14:paraId="425FF84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校内实施： 业财一体化综合实训：模拟企业完整业务流程，让学生体验从采购、生产、销售到财务核算的全链条数据传递。</w:t>
            </w:r>
          </w:p>
          <w:p w14:paraId="5FC2454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智能财务工具应用：引入财务共享服务中心平台、RPA（机器人流程自动化）、BI（商业智能）数据分析工具，处理模拟业务数据，培养“人机协同”能力。</w:t>
            </w:r>
          </w:p>
          <w:p w14:paraId="488AF26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VBSE（虚拟商业社会环境）：进行跨专业综合实训，与营销、人力等专业学生协同，全面理解企业运作。</w:t>
            </w:r>
          </w:p>
          <w:p w14:paraId="68C2133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校外实施：专项项目实践。参与合作企业的特定项目，如年终盘点、预算数据整理、税务资料归档等。</w:t>
            </w:r>
          </w:p>
          <w:p w14:paraId="43C265D3">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第四层：顶岗实习与毕业设计层（第5-6学期）</w:t>
            </w:r>
          </w:p>
          <w:p w14:paraId="69141D7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目标：实现从学习到就业的“最后一公里”跨越，培养独立解决实际问题的能力。</w:t>
            </w:r>
          </w:p>
          <w:p w14:paraId="55C899D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校外实施：顶岗实习。学生在真实工作岗位上，独立或协作完成会计工作任务，时长通常为6个月以上。</w:t>
            </w:r>
          </w:p>
          <w:p w14:paraId="6EB53689">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管理保障：建立“四维协同、持续改进”的质量控制体系</w:t>
            </w:r>
          </w:p>
          <w:p w14:paraId="18BE877B">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组织管理维度：成立“校企共管”的实践教学指导委员会</w:t>
            </w:r>
          </w:p>
          <w:p w14:paraId="5EF9A2B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运行管理维度：</w:t>
            </w:r>
          </w:p>
          <w:p w14:paraId="4745A52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（1）制度先行：制定《顶岗实习管理办法》、《校企双导师职责》等一系列规章制度，使管理有章可循。</w:t>
            </w:r>
          </w:p>
          <w:p w14:paraId="39B4FD8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（2）平台支撑：运用实习管理平台（如“校友邦”、“习训云”），实现岗位发布、师生互选、签到打卡、周记提交、导师批阅、实习报告撰写的全流程在线管理，解决“放羊式”管理难题。</w:t>
            </w:r>
          </w:p>
          <w:p w14:paraId="6CFDD80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（3）双导师落实：为每位实习生明确校内导师和企业导师，明确各自职责，并通过平台和定期巡查保持沟通。</w:t>
            </w:r>
          </w:p>
          <w:p w14:paraId="67C51B36">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 质量管理维度：构建“多元化、数据驱动”的评价与反馈机制</w:t>
            </w:r>
          </w:p>
          <w:p w14:paraId="730F23D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评价主体多元化：综合校内教师评价、企业导师评价、学生自评、实习平台数据评价（如任务完成率、打卡稳定性）。</w:t>
            </w:r>
          </w:p>
          <w:p w14:paraId="4C500CA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评价内容能力化：不仅评价专业技能，更将职业素养、沟通能力、学习能力、解决问题的能力纳入考核范围。</w:t>
            </w:r>
          </w:p>
        </w:tc>
      </w:tr>
      <w:tr w14:paraId="663B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740C4BF">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784E4EB3">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4.2 校外实践教学条件</w:t>
            </w:r>
          </w:p>
        </w:tc>
        <w:tc>
          <w:tcPr>
            <w:tcW w:w="4581" w:type="dxa"/>
            <w:vAlign w:val="center"/>
          </w:tcPr>
          <w:p w14:paraId="1FED3024">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1、校外实习基地数量不足，难以有效开展工学合作。</w:t>
            </w:r>
          </w:p>
        </w:tc>
        <w:tc>
          <w:tcPr>
            <w:tcW w:w="5506" w:type="dxa"/>
            <w:vMerge w:val="continue"/>
            <w:vAlign w:val="center"/>
          </w:tcPr>
          <w:p w14:paraId="2A3E8B81">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74D4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1BFBD0F">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623D167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429185E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2、企业参与深度不足，资源不稳定。</w:t>
            </w:r>
          </w:p>
        </w:tc>
        <w:tc>
          <w:tcPr>
            <w:tcW w:w="5506" w:type="dxa"/>
            <w:vMerge w:val="continue"/>
            <w:vAlign w:val="center"/>
          </w:tcPr>
          <w:p w14:paraId="0E0A44F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64E1D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328A289">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4A2C33F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4.3实践教学内容与管理</w:t>
            </w:r>
          </w:p>
        </w:tc>
        <w:tc>
          <w:tcPr>
            <w:tcW w:w="4581" w:type="dxa"/>
            <w:vAlign w:val="center"/>
          </w:tcPr>
          <w:p w14:paraId="5D415F1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1、实践项目创新不足，多围绕传统会计业务与基础大数据分析，缺乏与人工智能、区块链等新兴技术结合的项目，难培养学生应对行业变革的创新能力。</w:t>
            </w:r>
          </w:p>
        </w:tc>
        <w:tc>
          <w:tcPr>
            <w:tcW w:w="5506" w:type="dxa"/>
            <w:vMerge w:val="continue"/>
            <w:vAlign w:val="center"/>
          </w:tcPr>
          <w:p w14:paraId="065C46B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2DA1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6773DDB">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1FE61EF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1068631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2、质量评价与考核机制不健全。</w:t>
            </w:r>
          </w:p>
        </w:tc>
        <w:tc>
          <w:tcPr>
            <w:tcW w:w="5506" w:type="dxa"/>
            <w:vMerge w:val="continue"/>
            <w:vAlign w:val="center"/>
          </w:tcPr>
          <w:p w14:paraId="6D48157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36EC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068917E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5.专业师资</w:t>
            </w:r>
          </w:p>
        </w:tc>
        <w:tc>
          <w:tcPr>
            <w:tcW w:w="2183" w:type="dxa"/>
            <w:vMerge w:val="restart"/>
            <w:vAlign w:val="center"/>
          </w:tcPr>
          <w:p w14:paraId="36AEF63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5.1 专业带头人</w:t>
            </w:r>
          </w:p>
        </w:tc>
        <w:tc>
          <w:tcPr>
            <w:tcW w:w="4581" w:type="dxa"/>
            <w:shd w:val="clear" w:color="auto" w:fill="auto"/>
            <w:vAlign w:val="center"/>
          </w:tcPr>
          <w:p w14:paraId="732113E3">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1、引领团队教学研究作用不足，组织团队开展教学改革、课程建设、教材编写缺明确规划与有效措施，未形成合力。</w:t>
            </w:r>
          </w:p>
        </w:tc>
        <w:tc>
          <w:tcPr>
            <w:tcW w:w="5506" w:type="dxa"/>
            <w:vMerge w:val="restart"/>
            <w:vAlign w:val="center"/>
          </w:tcPr>
          <w:p w14:paraId="2AE3F72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1、建立校企双专业带头人制度。</w:t>
            </w:r>
          </w:p>
          <w:p w14:paraId="0B1A217B">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2、学校层面应制定清晰的遴选与管理办法，明确其权利与责任，建立科学的评价与激励体系。</w:t>
            </w:r>
          </w:p>
        </w:tc>
      </w:tr>
      <w:tr w14:paraId="3E573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60AA309">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75D7FEE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shd w:val="clear" w:color="auto" w:fill="auto"/>
            <w:vAlign w:val="center"/>
          </w:tcPr>
          <w:p w14:paraId="064D289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2二是行业学术交流参与度低，未积极参加学术会议等，难将行业最新动态、前沿技术引入教学，影响专业前瞻性。</w:t>
            </w:r>
          </w:p>
        </w:tc>
        <w:tc>
          <w:tcPr>
            <w:tcW w:w="5506" w:type="dxa"/>
            <w:vMerge w:val="continue"/>
            <w:vAlign w:val="center"/>
          </w:tcPr>
          <w:p w14:paraId="1C842E26">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3697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C44A2A6">
            <w:pPr>
              <w:jc w:val="center"/>
              <w:rPr>
                <w:rFonts w:hint="eastAsia" w:ascii="仿宋" w:hAnsi="仿宋" w:eastAsia="仿宋" w:cs="仿宋"/>
                <w:sz w:val="24"/>
                <w:szCs w:val="24"/>
                <w:vertAlign w:val="baseline"/>
                <w:lang w:val="en-US" w:eastAsia="zh-CN"/>
              </w:rPr>
            </w:pPr>
          </w:p>
        </w:tc>
        <w:tc>
          <w:tcPr>
            <w:tcW w:w="2183" w:type="dxa"/>
            <w:vAlign w:val="center"/>
          </w:tcPr>
          <w:p w14:paraId="20C0E2C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5.2队伍结构</w:t>
            </w:r>
          </w:p>
        </w:tc>
        <w:tc>
          <w:tcPr>
            <w:tcW w:w="4581" w:type="dxa"/>
            <w:shd w:val="clear" w:color="auto" w:fill="auto"/>
            <w:vAlign w:val="center"/>
          </w:tcPr>
          <w:p w14:paraId="03B328D0">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教师队伍整体偏年轻，中高级教师比例偏少，行业企业兼职教师不足，在不同的文件中对双师教师比例的统计比例上存在不同。</w:t>
            </w:r>
          </w:p>
        </w:tc>
        <w:tc>
          <w:tcPr>
            <w:tcW w:w="5506" w:type="dxa"/>
            <w:vAlign w:val="center"/>
          </w:tcPr>
          <w:p w14:paraId="19E33A2D">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建设“双向流动、结构合理”的混编教学团队</w:t>
            </w:r>
          </w:p>
          <w:p w14:paraId="1F341AC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通过“引进来”：从财务共享中心、代理记账公司、知名企业财务部等一线领域，引进或柔性聘请技术骨干担任产业导师，承担核心实践课程教学；“走出去”：严格执行教师每年到企业实践制度，实践基地应优先选择正在应用最新财税技术的企业。教师实践成果（如开发的案例、解决的技术难题）应纳入绩效考核；组建“课程组”：针对核心课程模块，成立由校内专任教师与企业导师共同组成的课程组，共同制定标准、共同备课、共同授课、共同评价。</w:t>
            </w:r>
          </w:p>
        </w:tc>
      </w:tr>
      <w:tr w14:paraId="5BDD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3606529">
            <w:pPr>
              <w:jc w:val="center"/>
              <w:rPr>
                <w:rFonts w:hint="eastAsia" w:ascii="仿宋" w:hAnsi="仿宋" w:eastAsia="仿宋" w:cs="仿宋"/>
                <w:sz w:val="24"/>
                <w:szCs w:val="24"/>
                <w:vertAlign w:val="baseline"/>
                <w:lang w:val="en-US" w:eastAsia="zh-CN"/>
              </w:rPr>
            </w:pPr>
          </w:p>
        </w:tc>
        <w:tc>
          <w:tcPr>
            <w:tcW w:w="2183" w:type="dxa"/>
            <w:vAlign w:val="center"/>
          </w:tcPr>
          <w:p w14:paraId="175648E5">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5.3师德与履职能力</w:t>
            </w:r>
          </w:p>
        </w:tc>
        <w:tc>
          <w:tcPr>
            <w:tcW w:w="4581" w:type="dxa"/>
            <w:shd w:val="clear" w:color="auto" w:fill="auto"/>
            <w:vAlign w:val="center"/>
          </w:tcPr>
          <w:p w14:paraId="66C2D2CE">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学校未有对教师师德师风考核</w:t>
            </w:r>
          </w:p>
        </w:tc>
        <w:tc>
          <w:tcPr>
            <w:tcW w:w="5506" w:type="dxa"/>
            <w:vAlign w:val="center"/>
          </w:tcPr>
          <w:p w14:paraId="6125A87E">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有效实施对教师师德师风考核</w:t>
            </w:r>
          </w:p>
        </w:tc>
      </w:tr>
      <w:tr w14:paraId="367E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482209B">
            <w:pPr>
              <w:jc w:val="center"/>
              <w:rPr>
                <w:rFonts w:hint="eastAsia" w:ascii="仿宋" w:hAnsi="仿宋" w:eastAsia="仿宋" w:cs="仿宋"/>
                <w:sz w:val="24"/>
                <w:szCs w:val="24"/>
                <w:vertAlign w:val="baseline"/>
                <w:lang w:val="en-US" w:eastAsia="zh-CN"/>
              </w:rPr>
            </w:pPr>
          </w:p>
        </w:tc>
        <w:tc>
          <w:tcPr>
            <w:tcW w:w="2183" w:type="dxa"/>
            <w:vAlign w:val="center"/>
          </w:tcPr>
          <w:p w14:paraId="23DD480E">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5.4专业教师实践能力</w:t>
            </w:r>
          </w:p>
        </w:tc>
        <w:tc>
          <w:tcPr>
            <w:tcW w:w="4581" w:type="dxa"/>
            <w:shd w:val="clear" w:color="auto" w:fill="auto"/>
            <w:vAlign w:val="center"/>
          </w:tcPr>
          <w:p w14:paraId="26853E0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1、教师实践能力提升主要依赖企业挂职，但锻炼效果有限，且缺多元提升方式；二是教师实践成果教学转化不及时有效，企业实践经验案例未更新到教学，与教学结合不紧密。</w:t>
            </w:r>
          </w:p>
        </w:tc>
        <w:tc>
          <w:tcPr>
            <w:tcW w:w="5506" w:type="dxa"/>
            <w:vAlign w:val="center"/>
          </w:tcPr>
          <w:p w14:paraId="33B2ED3D">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依据福建省双师评审标准加强教师</w:t>
            </w:r>
            <w:r>
              <w:rPr>
                <w:rFonts w:hint="eastAsia" w:ascii="仿宋" w:hAnsi="仿宋" w:eastAsia="仿宋" w:cs="仿宋"/>
                <w:sz w:val="24"/>
                <w:szCs w:val="24"/>
                <w:vertAlign w:val="baseline"/>
                <w:lang w:val="en-US" w:eastAsia="zh-CN"/>
              </w:rPr>
              <w:t>实践能力</w:t>
            </w:r>
          </w:p>
        </w:tc>
      </w:tr>
      <w:tr w14:paraId="3D11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D1C0393">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36D18AE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5.5 </w:t>
            </w:r>
            <w:bookmarkStart w:id="1" w:name="OLE_LINK4"/>
            <w:r>
              <w:rPr>
                <w:rFonts w:hint="eastAsia" w:ascii="仿宋" w:hAnsi="仿宋" w:eastAsia="仿宋" w:cs="仿宋"/>
                <w:sz w:val="24"/>
                <w:szCs w:val="24"/>
                <w:vertAlign w:val="baseline"/>
                <w:lang w:val="en-US" w:eastAsia="zh-CN"/>
              </w:rPr>
              <w:t>教学科研能力</w:t>
            </w:r>
            <w:bookmarkEnd w:id="1"/>
          </w:p>
        </w:tc>
        <w:tc>
          <w:tcPr>
            <w:tcW w:w="4581" w:type="dxa"/>
            <w:shd w:val="clear" w:color="auto" w:fill="auto"/>
            <w:vAlign w:val="center"/>
          </w:tcPr>
          <w:p w14:paraId="71B2CF8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1、科研方向与专业教学结合不紧，部分科研项目侧重理论、脱离教学实际需求，成果难用于教学改革和课程建设，无法促教学质量提升。</w:t>
            </w:r>
          </w:p>
        </w:tc>
        <w:tc>
          <w:tcPr>
            <w:tcW w:w="5506" w:type="dxa"/>
            <w:vMerge w:val="restart"/>
            <w:vAlign w:val="center"/>
          </w:tcPr>
          <w:p w14:paraId="1523DF6C">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从学校层面加大对教师</w:t>
            </w:r>
            <w:r>
              <w:rPr>
                <w:rFonts w:hint="eastAsia" w:ascii="仿宋" w:hAnsi="仿宋" w:eastAsia="仿宋" w:cs="仿宋"/>
                <w:sz w:val="24"/>
                <w:szCs w:val="24"/>
                <w:vertAlign w:val="baseline"/>
                <w:lang w:val="en-US" w:eastAsia="zh-CN"/>
              </w:rPr>
              <w:t>教学科研业绩的考核，将教师科研与教研成果纳入教师工作量，在待遇上给予体现</w:t>
            </w:r>
          </w:p>
        </w:tc>
      </w:tr>
      <w:tr w14:paraId="767A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7556A27">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413D2CFB">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shd w:val="clear" w:color="auto" w:fill="auto"/>
            <w:vAlign w:val="center"/>
          </w:tcPr>
          <w:p w14:paraId="6739305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2、教研成果推广范围窄，虽有改革成果，但在专业推广力度不足，未形成示范效应，价值未充分发挥。</w:t>
            </w:r>
          </w:p>
        </w:tc>
        <w:tc>
          <w:tcPr>
            <w:tcW w:w="5506" w:type="dxa"/>
            <w:vMerge w:val="continue"/>
            <w:vAlign w:val="center"/>
          </w:tcPr>
          <w:p w14:paraId="047536F4">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2390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866E0B8">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61F769B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5.6兼职教师</w:t>
            </w:r>
          </w:p>
        </w:tc>
        <w:tc>
          <w:tcPr>
            <w:tcW w:w="4581" w:type="dxa"/>
            <w:shd w:val="clear" w:color="auto" w:fill="auto"/>
            <w:vAlign w:val="center"/>
          </w:tcPr>
          <w:p w14:paraId="6A7AAC53">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1、行业企业兼职教师缺乏。</w:t>
            </w:r>
          </w:p>
        </w:tc>
        <w:tc>
          <w:tcPr>
            <w:tcW w:w="5506" w:type="dxa"/>
            <w:vMerge w:val="restart"/>
            <w:vAlign w:val="center"/>
          </w:tcPr>
          <w:p w14:paraId="144CFE8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加大聘请企业兼职教师，在待遇方面给予保障，并加强对其教学业务的指导，与校内教师建立双导师制</w:t>
            </w:r>
          </w:p>
        </w:tc>
      </w:tr>
      <w:tr w14:paraId="7CB0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384AEED">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0E93D3A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shd w:val="clear" w:color="auto" w:fill="auto"/>
            <w:vAlign w:val="center"/>
          </w:tcPr>
          <w:p w14:paraId="2E837EDC">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2、兼职教师参与专业建设、课程教学不足。</w:t>
            </w:r>
          </w:p>
        </w:tc>
        <w:tc>
          <w:tcPr>
            <w:tcW w:w="5506" w:type="dxa"/>
            <w:vMerge w:val="continue"/>
            <w:vAlign w:val="center"/>
          </w:tcPr>
          <w:p w14:paraId="5B4C662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161D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67F7CBB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6.学生满意度</w:t>
            </w:r>
          </w:p>
        </w:tc>
        <w:tc>
          <w:tcPr>
            <w:tcW w:w="2183" w:type="dxa"/>
            <w:vAlign w:val="center"/>
          </w:tcPr>
          <w:p w14:paraId="0BE7B7FA">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6.1对教学保障的满意度</w:t>
            </w:r>
          </w:p>
        </w:tc>
        <w:tc>
          <w:tcPr>
            <w:tcW w:w="4581" w:type="dxa"/>
            <w:vAlign w:val="center"/>
          </w:tcPr>
          <w:p w14:paraId="214E6508">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缺少满意度调查的原始资料</w:t>
            </w:r>
          </w:p>
        </w:tc>
        <w:tc>
          <w:tcPr>
            <w:tcW w:w="5506" w:type="dxa"/>
            <w:vMerge w:val="restart"/>
            <w:vAlign w:val="center"/>
          </w:tcPr>
          <w:p w14:paraId="04D4EA00">
            <w:pPr>
              <w:keepNext w:val="0"/>
              <w:keepLines w:val="0"/>
              <w:widowControl/>
              <w:numPr>
                <w:ilvl w:val="0"/>
                <w:numId w:val="4"/>
              </w:numPr>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科学设计学生满意度调查问卷表；</w:t>
            </w:r>
          </w:p>
          <w:p w14:paraId="25CD912C">
            <w:pPr>
              <w:keepNext w:val="0"/>
              <w:keepLines w:val="0"/>
              <w:widowControl/>
              <w:numPr>
                <w:ilvl w:val="0"/>
                <w:numId w:val="4"/>
              </w:numPr>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选择充足的样本；</w:t>
            </w:r>
          </w:p>
          <w:p w14:paraId="0FECC14E">
            <w:pPr>
              <w:keepNext w:val="0"/>
              <w:keepLines w:val="0"/>
              <w:widowControl/>
              <w:numPr>
                <w:ilvl w:val="0"/>
                <w:numId w:val="4"/>
              </w:numPr>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引入第三方评价机构进行调查；</w:t>
            </w:r>
          </w:p>
          <w:p w14:paraId="485AF8F3">
            <w:pPr>
              <w:keepNext w:val="0"/>
              <w:keepLines w:val="0"/>
              <w:widowControl/>
              <w:numPr>
                <w:ilvl w:val="0"/>
                <w:numId w:val="4"/>
              </w:numPr>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对调查资料进行数据分析，形成分析报告；</w:t>
            </w:r>
          </w:p>
          <w:p w14:paraId="3462109F">
            <w:pPr>
              <w:keepNext w:val="0"/>
              <w:keepLines w:val="0"/>
              <w:widowControl/>
              <w:numPr>
                <w:ilvl w:val="0"/>
                <w:numId w:val="4"/>
              </w:numPr>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根据分析报告提出改进措施。</w:t>
            </w:r>
          </w:p>
          <w:p w14:paraId="59A257D5">
            <w:pPr>
              <w:keepNext w:val="0"/>
              <w:keepLines w:val="0"/>
              <w:widowControl/>
              <w:numPr>
                <w:ilvl w:val="0"/>
                <w:numId w:val="4"/>
              </w:numPr>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vertAlign w:val="baseline"/>
                <w:lang w:val="en-US" w:eastAsia="zh-CN"/>
              </w:rPr>
              <w:t>还有专升本数据是否要体现？</w:t>
            </w:r>
          </w:p>
        </w:tc>
      </w:tr>
      <w:tr w14:paraId="35E7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C23C3AA">
            <w:pPr>
              <w:jc w:val="center"/>
              <w:rPr>
                <w:rFonts w:hint="eastAsia" w:ascii="仿宋" w:hAnsi="仿宋" w:eastAsia="仿宋" w:cs="仿宋"/>
                <w:sz w:val="24"/>
                <w:szCs w:val="24"/>
                <w:vertAlign w:val="baseline"/>
                <w:lang w:val="en-US" w:eastAsia="zh-CN"/>
              </w:rPr>
            </w:pPr>
          </w:p>
        </w:tc>
        <w:tc>
          <w:tcPr>
            <w:tcW w:w="2183" w:type="dxa"/>
            <w:vMerge w:val="restart"/>
            <w:vAlign w:val="center"/>
          </w:tcPr>
          <w:p w14:paraId="7BEC5D5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6.2毕业生</w:t>
            </w:r>
            <w:bookmarkStart w:id="2" w:name="OLE_LINK2"/>
            <w:r>
              <w:rPr>
                <w:rFonts w:hint="eastAsia" w:ascii="仿宋" w:hAnsi="仿宋" w:eastAsia="仿宋" w:cs="仿宋"/>
                <w:sz w:val="24"/>
                <w:szCs w:val="24"/>
                <w:vertAlign w:val="baseline"/>
                <w:lang w:val="en-US" w:eastAsia="zh-CN"/>
              </w:rPr>
              <w:t>满意度</w:t>
            </w:r>
            <w:bookmarkEnd w:id="2"/>
          </w:p>
        </w:tc>
        <w:tc>
          <w:tcPr>
            <w:tcW w:w="4581" w:type="dxa"/>
            <w:vAlign w:val="center"/>
          </w:tcPr>
          <w:p w14:paraId="525D622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1、样本代表性不足，仅反映部分毕业生意见，难全面代表整体，对不同就业类型、职业发展阶段毕业生的满意度差异分析不深入。</w:t>
            </w:r>
          </w:p>
        </w:tc>
        <w:tc>
          <w:tcPr>
            <w:tcW w:w="5506" w:type="dxa"/>
            <w:vMerge w:val="continue"/>
            <w:vAlign w:val="center"/>
          </w:tcPr>
          <w:p w14:paraId="0530DFD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285E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98DAF23">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4446EA9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vAlign w:val="center"/>
          </w:tcPr>
          <w:p w14:paraId="37B2AAF6">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2、未</w:t>
            </w:r>
            <w:bookmarkStart w:id="3" w:name="OLE_LINK1"/>
            <w:r>
              <w:rPr>
                <w:rFonts w:hint="eastAsia" w:ascii="仿宋" w:hAnsi="仿宋" w:eastAsia="仿宋" w:cs="仿宋"/>
                <w:i w:val="0"/>
                <w:iCs w:val="0"/>
                <w:color w:val="000000"/>
                <w:kern w:val="0"/>
                <w:sz w:val="24"/>
                <w:szCs w:val="24"/>
                <w:u w:val="none"/>
                <w:lang w:val="en-US" w:eastAsia="zh-CN" w:bidi="ar"/>
              </w:rPr>
              <w:t>引入第三方评价机构对毕业生</w:t>
            </w:r>
            <w:bookmarkEnd w:id="3"/>
            <w:r>
              <w:rPr>
                <w:rFonts w:hint="eastAsia" w:ascii="仿宋" w:hAnsi="仿宋" w:eastAsia="仿宋" w:cs="仿宋"/>
                <w:i w:val="0"/>
                <w:iCs w:val="0"/>
                <w:color w:val="000000"/>
                <w:kern w:val="0"/>
                <w:sz w:val="24"/>
                <w:szCs w:val="24"/>
                <w:u w:val="none"/>
                <w:lang w:val="en-US" w:eastAsia="zh-CN" w:bidi="ar"/>
              </w:rPr>
              <w:t>进行满意度。</w:t>
            </w:r>
          </w:p>
        </w:tc>
        <w:tc>
          <w:tcPr>
            <w:tcW w:w="5506" w:type="dxa"/>
            <w:vMerge w:val="continue"/>
            <w:vAlign w:val="center"/>
          </w:tcPr>
          <w:p w14:paraId="3E3330F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4DBC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5FAAAD9">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7.人才培养质量</w:t>
            </w:r>
          </w:p>
        </w:tc>
        <w:tc>
          <w:tcPr>
            <w:tcW w:w="2183" w:type="dxa"/>
            <w:vMerge w:val="restart"/>
            <w:vAlign w:val="center"/>
          </w:tcPr>
          <w:p w14:paraId="7A6D46E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7.1用人单位满意度</w:t>
            </w:r>
          </w:p>
        </w:tc>
        <w:tc>
          <w:tcPr>
            <w:tcW w:w="4581" w:type="dxa"/>
            <w:shd w:val="clear" w:color="auto" w:fill="auto"/>
            <w:vAlign w:val="center"/>
          </w:tcPr>
          <w:p w14:paraId="2F95256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1、用人单位满意度调查的样本资料不足，虽做满意度调查，但仅停留在表面数据，未深挖其对毕业生的具体需求、期望及专业教学改进建议</w:t>
            </w:r>
          </w:p>
        </w:tc>
        <w:tc>
          <w:tcPr>
            <w:tcW w:w="5506" w:type="dxa"/>
            <w:vMerge w:val="continue"/>
            <w:vAlign w:val="center"/>
          </w:tcPr>
          <w:p w14:paraId="650FE0D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58A8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DE7CDF3">
            <w:pPr>
              <w:jc w:val="center"/>
              <w:rPr>
                <w:rFonts w:hint="eastAsia" w:ascii="仿宋" w:hAnsi="仿宋" w:eastAsia="仿宋" w:cs="仿宋"/>
                <w:sz w:val="24"/>
                <w:szCs w:val="24"/>
                <w:vertAlign w:val="baseline"/>
                <w:lang w:val="en-US" w:eastAsia="zh-CN"/>
              </w:rPr>
            </w:pPr>
          </w:p>
        </w:tc>
        <w:tc>
          <w:tcPr>
            <w:tcW w:w="2183" w:type="dxa"/>
            <w:vMerge w:val="continue"/>
            <w:vAlign w:val="center"/>
          </w:tcPr>
          <w:p w14:paraId="2B1885D4">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p>
        </w:tc>
        <w:tc>
          <w:tcPr>
            <w:tcW w:w="4581" w:type="dxa"/>
            <w:shd w:val="clear" w:color="auto" w:fill="auto"/>
            <w:vAlign w:val="center"/>
          </w:tcPr>
          <w:p w14:paraId="543061E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2、未引入第三方评价机构对用人单位进行满意度调查。</w:t>
            </w:r>
          </w:p>
        </w:tc>
        <w:tc>
          <w:tcPr>
            <w:tcW w:w="5506" w:type="dxa"/>
            <w:vMerge w:val="continue"/>
            <w:vAlign w:val="center"/>
          </w:tcPr>
          <w:p w14:paraId="02920B3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1178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DC874CB">
            <w:pPr>
              <w:jc w:val="center"/>
              <w:rPr>
                <w:rFonts w:hint="eastAsia" w:ascii="仿宋" w:hAnsi="仿宋" w:eastAsia="仿宋" w:cs="仿宋"/>
                <w:sz w:val="24"/>
                <w:szCs w:val="24"/>
                <w:vertAlign w:val="baseline"/>
                <w:lang w:val="en-US" w:eastAsia="zh-CN"/>
              </w:rPr>
            </w:pPr>
          </w:p>
        </w:tc>
        <w:tc>
          <w:tcPr>
            <w:tcW w:w="2183" w:type="dxa"/>
            <w:vAlign w:val="center"/>
          </w:tcPr>
          <w:p w14:paraId="593F3C20">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7.2就业状况</w:t>
            </w:r>
          </w:p>
        </w:tc>
        <w:tc>
          <w:tcPr>
            <w:tcW w:w="4581" w:type="dxa"/>
            <w:shd w:val="clear" w:color="auto" w:fill="auto"/>
            <w:vAlign w:val="center"/>
          </w:tcPr>
          <w:p w14:paraId="30692D0E">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依据提供的资料，难以有效判断就业状况</w:t>
            </w:r>
          </w:p>
        </w:tc>
        <w:tc>
          <w:tcPr>
            <w:tcW w:w="5506" w:type="dxa"/>
            <w:vAlign w:val="center"/>
          </w:tcPr>
          <w:p w14:paraId="28406065">
            <w:pPr>
              <w:keepNext w:val="0"/>
              <w:keepLines w:val="0"/>
              <w:widowControl/>
              <w:numPr>
                <w:ilvl w:val="0"/>
                <w:numId w:val="5"/>
              </w:numPr>
              <w:suppressLineNumbers w:val="0"/>
              <w:ind w:left="210" w:leftChars="0" w:firstLineChars="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提供毕业生就业有效证明资料，2、进行毕业生就业状况分析，3、引入第三方评价机构对毕业生就业进行调查；4、</w:t>
            </w:r>
            <w:r>
              <w:rPr>
                <w:rFonts w:hint="eastAsia" w:ascii="仿宋" w:hAnsi="仿宋" w:eastAsia="仿宋" w:cs="仿宋"/>
                <w:sz w:val="24"/>
                <w:szCs w:val="24"/>
                <w:vertAlign w:val="baseline"/>
                <w:lang w:val="en-US" w:eastAsia="zh-CN"/>
              </w:rPr>
              <w:t>高职学生到小微企业居多，如何体现特色和针对性</w:t>
            </w:r>
          </w:p>
        </w:tc>
      </w:tr>
      <w:tr w14:paraId="3219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607E62A">
            <w:pPr>
              <w:jc w:val="center"/>
              <w:rPr>
                <w:rFonts w:hint="eastAsia" w:ascii="仿宋" w:hAnsi="仿宋" w:eastAsia="仿宋" w:cs="仿宋"/>
                <w:sz w:val="24"/>
                <w:szCs w:val="24"/>
                <w:vertAlign w:val="baseline"/>
                <w:lang w:val="en-US" w:eastAsia="zh-CN"/>
              </w:rPr>
            </w:pPr>
          </w:p>
        </w:tc>
        <w:tc>
          <w:tcPr>
            <w:tcW w:w="2183" w:type="dxa"/>
            <w:vAlign w:val="center"/>
          </w:tcPr>
          <w:p w14:paraId="3C06B4F1">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7.3学生技能水平</w:t>
            </w:r>
          </w:p>
        </w:tc>
        <w:tc>
          <w:tcPr>
            <w:tcW w:w="4581" w:type="dxa"/>
            <w:shd w:val="clear" w:color="auto" w:fill="auto"/>
            <w:vAlign w:val="center"/>
          </w:tcPr>
          <w:p w14:paraId="6F30798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岗课赛证融通不足，技能竞赛与日常教学融合度低，培训选拔仅针对部分优秀生，未将竞赛内容融入日常教学，多数学生难从竞赛中受益。</w:t>
            </w:r>
          </w:p>
        </w:tc>
        <w:tc>
          <w:tcPr>
            <w:tcW w:w="5506" w:type="dxa"/>
            <w:vAlign w:val="center"/>
          </w:tcPr>
          <w:p w14:paraId="3161A30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实践教学升级：打通“校内仿真+校外真账”的双重路径。</w:t>
            </w:r>
          </w:p>
          <w:p w14:paraId="4CD4FD5C">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（1）校内“生产性实训”：与代理记账公司、财税平台合作，在校内建立“记账工场”，让学生在教师和企业导师指导下，直接处理真实的中小微企业账务。这是技能锤炼的“试金石”。</w:t>
            </w:r>
          </w:p>
          <w:p w14:paraId="436B2C4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校外“顶岗实习”深化管理：与合作企业共建稳定的实习基地，推行“双导师制”，为每位实习生配备企业导师和学校导师。利用信息化平台对实习过程进行精细化管理，确保实习内容与专业相关，杜绝“放羊”现象。</w:t>
            </w:r>
          </w:p>
        </w:tc>
      </w:tr>
      <w:tr w14:paraId="3DD5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79D1256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8.校企（医）合作与社会服务</w:t>
            </w:r>
          </w:p>
        </w:tc>
        <w:tc>
          <w:tcPr>
            <w:tcW w:w="2183" w:type="dxa"/>
            <w:vAlign w:val="center"/>
          </w:tcPr>
          <w:p w14:paraId="2F8C8938">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8.1校企合作</w:t>
            </w:r>
          </w:p>
        </w:tc>
        <w:tc>
          <w:tcPr>
            <w:tcW w:w="4581" w:type="dxa"/>
            <w:shd w:val="clear" w:color="auto" w:fill="auto"/>
            <w:vAlign w:val="center"/>
          </w:tcPr>
          <w:p w14:paraId="719098F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校企合作在深度和广度待拓展，合作多集中于实践教学与学生就业，产学研合作、技术创新等领域合作少，未充分发挥双方优势实现全方位共赢。</w:t>
            </w:r>
          </w:p>
        </w:tc>
        <w:tc>
          <w:tcPr>
            <w:tcW w:w="5506" w:type="dxa"/>
            <w:vMerge w:val="restart"/>
            <w:vAlign w:val="center"/>
          </w:tcPr>
          <w:p w14:paraId="0F993360">
            <w:pPr>
              <w:keepNext w:val="0"/>
              <w:keepLines w:val="0"/>
              <w:widowControl/>
              <w:suppressLineNumbers w:val="0"/>
              <w:jc w:val="both"/>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构建多层次、立体化的合作载体</w:t>
            </w:r>
          </w:p>
          <w:p w14:paraId="07234B0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共建“教学工厂”式校内生产性实训基地</w:t>
            </w:r>
          </w:p>
          <w:p w14:paraId="12C39E5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模式：与知名代理记账公司、财税服务平台或大型企业财务共享服务中心合作，在校内共建“会计服务中心”或“财务共享服务校内实践基地”。</w:t>
            </w:r>
          </w:p>
          <w:p w14:paraId="2838CD5A">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运作：企业将真实客户（主要是中小微企业）的记账、报税、票据整理等基础性、重复性业务外包到该中心。学生在企业导师和专任教师指导下，轮岗处理真实业务。</w:t>
            </w:r>
          </w:p>
          <w:p w14:paraId="2226F825">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共研“企业真实课题”</w:t>
            </w:r>
          </w:p>
          <w:p w14:paraId="16AFEE08">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将企业的实际财务难题作为师生的“教研课题”和“毕业设计课题”。</w:t>
            </w:r>
          </w:p>
          <w:p w14:paraId="279B120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运作：例如，由教师带领优秀学生团队，为合作企业提供行业税务筹划对比分析、成本控制流程优化、财务数据分析报告、内控风险诊断等微型咨询服务。</w:t>
            </w:r>
          </w:p>
          <w:p w14:paraId="565E0969">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5328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240D808">
            <w:pPr>
              <w:jc w:val="center"/>
              <w:rPr>
                <w:rFonts w:hint="eastAsia" w:ascii="仿宋" w:hAnsi="仿宋" w:eastAsia="仿宋" w:cs="仿宋"/>
                <w:sz w:val="24"/>
                <w:szCs w:val="24"/>
                <w:vertAlign w:val="baseline"/>
                <w:lang w:val="en-US" w:eastAsia="zh-CN"/>
              </w:rPr>
            </w:pPr>
          </w:p>
        </w:tc>
        <w:tc>
          <w:tcPr>
            <w:tcW w:w="2183" w:type="dxa"/>
            <w:vAlign w:val="center"/>
          </w:tcPr>
          <w:p w14:paraId="726E3A97">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8.2 社会服务</w:t>
            </w:r>
          </w:p>
        </w:tc>
        <w:tc>
          <w:tcPr>
            <w:tcW w:w="4581" w:type="dxa"/>
            <w:shd w:val="clear" w:color="auto" w:fill="auto"/>
            <w:vAlign w:val="center"/>
          </w:tcPr>
          <w:p w14:paraId="0459358D">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社会服务在广度与深度上仍不够</w:t>
            </w:r>
          </w:p>
        </w:tc>
        <w:tc>
          <w:tcPr>
            <w:tcW w:w="5506" w:type="dxa"/>
            <w:vMerge w:val="continue"/>
            <w:vAlign w:val="center"/>
          </w:tcPr>
          <w:p w14:paraId="2BAF6AB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21E4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2987A97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9.社会评价与特色创新</w:t>
            </w:r>
          </w:p>
        </w:tc>
        <w:tc>
          <w:tcPr>
            <w:tcW w:w="2183" w:type="dxa"/>
            <w:vAlign w:val="center"/>
          </w:tcPr>
          <w:p w14:paraId="664B66D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9.1专业竞争力</w:t>
            </w:r>
          </w:p>
        </w:tc>
        <w:tc>
          <w:tcPr>
            <w:tcW w:w="4581" w:type="dxa"/>
            <w:shd w:val="clear" w:color="auto" w:fill="auto"/>
            <w:vAlign w:val="center"/>
          </w:tcPr>
          <w:p w14:paraId="00CC4C7E">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专业品牌建设与宣传不足，但公众知名度美誉度低，缺系统宣传策略与活动，难吸引优质生源和社会资源；二是与同类院校差异化优势不突出，课程、培养模式特色有限，未形成独特优势。</w:t>
            </w:r>
          </w:p>
        </w:tc>
        <w:tc>
          <w:tcPr>
            <w:tcW w:w="5506" w:type="dxa"/>
            <w:vMerge w:val="restart"/>
            <w:vAlign w:val="center"/>
          </w:tcPr>
          <w:p w14:paraId="28B2341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聚焦细分市场，实现“错位竞争”</w:t>
            </w:r>
          </w:p>
          <w:p w14:paraId="3B16A69F">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1、行业细分：依托区域经济，定位服务于特定行业。</w:t>
            </w:r>
          </w:p>
          <w:p w14:paraId="78BD4490">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2、岗位细分：避开综合会计岗位的激烈竞争，聚焦于新兴或紧缺岗位。</w:t>
            </w:r>
          </w:p>
          <w:p w14:paraId="4054DC69">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3、技术细分：强调在某一技术领域的深度应用。</w:t>
            </w:r>
          </w:p>
          <w:p w14:paraId="5D8F5B77">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p>
        </w:tc>
      </w:tr>
      <w:tr w14:paraId="041D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76A489E">
            <w:pPr>
              <w:jc w:val="left"/>
              <w:rPr>
                <w:rFonts w:hint="eastAsia" w:ascii="仿宋" w:hAnsi="仿宋" w:eastAsia="仿宋" w:cs="仿宋"/>
                <w:sz w:val="24"/>
                <w:szCs w:val="24"/>
                <w:vertAlign w:val="baseline"/>
                <w:lang w:val="en-US" w:eastAsia="zh-CN"/>
              </w:rPr>
            </w:pPr>
          </w:p>
        </w:tc>
        <w:tc>
          <w:tcPr>
            <w:tcW w:w="2183" w:type="dxa"/>
            <w:vAlign w:val="center"/>
          </w:tcPr>
          <w:p w14:paraId="729C09C9">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9.2 专业招生</w:t>
            </w:r>
          </w:p>
        </w:tc>
        <w:tc>
          <w:tcPr>
            <w:tcW w:w="4581" w:type="dxa"/>
            <w:shd w:val="clear" w:color="auto" w:fill="auto"/>
            <w:vAlign w:val="center"/>
          </w:tcPr>
          <w:p w14:paraId="18DA0E82">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宣传内容与方式针对性弱，资料侧重校院基本情况，缺专业特色、就业前景、培养模</w:t>
            </w:r>
          </w:p>
          <w:p w14:paraId="5A6C93FD">
            <w:pPr>
              <w:keepNext w:val="0"/>
              <w:keepLines w:val="0"/>
              <w:widowControl/>
              <w:suppressLineNumbers w:val="0"/>
              <w:jc w:val="both"/>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式等深入解读，难满足考生家长信息需求。</w:t>
            </w:r>
          </w:p>
        </w:tc>
        <w:tc>
          <w:tcPr>
            <w:tcW w:w="5506" w:type="dxa"/>
            <w:vMerge w:val="continue"/>
            <w:vAlign w:val="center"/>
          </w:tcPr>
          <w:p w14:paraId="5D934016">
            <w:pPr>
              <w:jc w:val="center"/>
              <w:rPr>
                <w:rFonts w:hint="eastAsia" w:ascii="仿宋" w:hAnsi="仿宋" w:eastAsia="仿宋" w:cs="仿宋"/>
                <w:sz w:val="24"/>
                <w:szCs w:val="24"/>
                <w:vertAlign w:val="baseline"/>
                <w:lang w:val="en-US" w:eastAsia="zh-CN"/>
              </w:rPr>
            </w:pPr>
          </w:p>
        </w:tc>
      </w:tr>
      <w:tr w14:paraId="6458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84AB494">
            <w:pPr>
              <w:jc w:val="left"/>
              <w:rPr>
                <w:rFonts w:hint="eastAsia" w:ascii="仿宋" w:hAnsi="仿宋" w:eastAsia="仿宋" w:cs="仿宋"/>
                <w:sz w:val="24"/>
                <w:szCs w:val="24"/>
                <w:vertAlign w:val="baseline"/>
                <w:lang w:val="en-US" w:eastAsia="zh-CN"/>
              </w:rPr>
            </w:pPr>
          </w:p>
        </w:tc>
        <w:tc>
          <w:tcPr>
            <w:tcW w:w="2183" w:type="dxa"/>
            <w:vAlign w:val="center"/>
          </w:tcPr>
          <w:p w14:paraId="7EDE7DBF">
            <w:pPr>
              <w:keepNext w:val="0"/>
              <w:keepLines w:val="0"/>
              <w:pageBreakBefore w:val="0"/>
              <w:widowControl w:val="0"/>
              <w:kinsoku/>
              <w:wordWrap/>
              <w:overflowPunct/>
              <w:topLinePunct w:val="0"/>
              <w:autoSpaceDE/>
              <w:autoSpaceDN/>
              <w:bidi w:val="0"/>
              <w:adjustRightInd/>
              <w:snapToGrid w:val="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9.3 特色创新</w:t>
            </w:r>
          </w:p>
        </w:tc>
        <w:tc>
          <w:tcPr>
            <w:tcW w:w="4581" w:type="dxa"/>
            <w:shd w:val="clear" w:color="auto" w:fill="auto"/>
            <w:vAlign w:val="center"/>
          </w:tcPr>
          <w:p w14:paraId="36FB29F8">
            <w:pPr>
              <w:keepNext w:val="0"/>
              <w:keepLines w:val="0"/>
              <w:widowControl/>
              <w:suppressLineNumbers w:val="0"/>
              <w:jc w:val="both"/>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特色不够明显，缺少资料支撑</w:t>
            </w:r>
          </w:p>
        </w:tc>
        <w:tc>
          <w:tcPr>
            <w:tcW w:w="5506" w:type="dxa"/>
            <w:vMerge w:val="continue"/>
            <w:vAlign w:val="center"/>
          </w:tcPr>
          <w:p w14:paraId="3ED037C7">
            <w:pPr>
              <w:jc w:val="center"/>
              <w:rPr>
                <w:rFonts w:hint="eastAsia" w:ascii="仿宋" w:hAnsi="仿宋" w:eastAsia="仿宋" w:cs="仿宋"/>
                <w:sz w:val="24"/>
                <w:szCs w:val="24"/>
                <w:vertAlign w:val="baseline"/>
                <w:lang w:val="en-US" w:eastAsia="zh-CN"/>
              </w:rPr>
            </w:pPr>
          </w:p>
        </w:tc>
      </w:tr>
    </w:tbl>
    <w:p w14:paraId="3A40E25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仿宋" w:hAnsi="仿宋" w:eastAsia="仿宋" w:cs="仿宋"/>
          <w:b/>
          <w:bCs/>
          <w:sz w:val="30"/>
          <w:szCs w:val="30"/>
          <w:u w:val="none"/>
          <w:lang w:val="en-US" w:eastAsia="zh-CN"/>
        </w:rPr>
      </w:pPr>
      <w:r>
        <w:rPr>
          <w:rFonts w:hint="eastAsia" w:ascii="仿宋" w:hAnsi="仿宋" w:eastAsia="仿宋" w:cs="仿宋"/>
          <w:b/>
          <w:bCs/>
          <w:sz w:val="30"/>
          <w:szCs w:val="30"/>
          <w:lang w:val="en-US" w:eastAsia="zh-CN"/>
        </w:rPr>
        <w:t>专家签字：</w:t>
      </w:r>
      <w:r>
        <w:rPr>
          <w:rFonts w:hint="eastAsia" w:ascii="仿宋" w:hAnsi="仿宋" w:eastAsia="仿宋" w:cs="仿宋"/>
          <w:b/>
          <w:bCs/>
          <w:sz w:val="30"/>
          <w:szCs w:val="30"/>
          <w:u w:val="single"/>
          <w:lang w:val="en-US" w:eastAsia="zh-CN"/>
        </w:rPr>
        <w:t xml:space="preserve">                       </w:t>
      </w:r>
      <w:r>
        <w:rPr>
          <w:rFonts w:hint="eastAsia" w:ascii="仿宋" w:hAnsi="仿宋" w:eastAsia="仿宋" w:cs="仿宋"/>
          <w:b/>
          <w:bCs/>
          <w:sz w:val="30"/>
          <w:szCs w:val="30"/>
          <w:u w:val="none"/>
          <w:lang w:val="en-US" w:eastAsia="zh-CN"/>
        </w:rPr>
        <w:t xml:space="preserve">                                            </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年</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月</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none"/>
          <w:lang w:val="en-US" w:eastAsia="zh-CN"/>
        </w:rPr>
        <w:t>日</w:t>
      </w:r>
    </w:p>
    <w:sectPr>
      <w:footerReference r:id="rId3" w:type="default"/>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1218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5B50A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5B50A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FC4A0"/>
    <w:multiLevelType w:val="singleLevel"/>
    <w:tmpl w:val="A84FC4A0"/>
    <w:lvl w:ilvl="0" w:tentative="0">
      <w:start w:val="3"/>
      <w:numFmt w:val="decimal"/>
      <w:suff w:val="nothing"/>
      <w:lvlText w:val="%1、"/>
      <w:lvlJc w:val="left"/>
    </w:lvl>
  </w:abstractNum>
  <w:abstractNum w:abstractNumId="1">
    <w:nsid w:val="CEE6EABE"/>
    <w:multiLevelType w:val="singleLevel"/>
    <w:tmpl w:val="CEE6EABE"/>
    <w:lvl w:ilvl="0" w:tentative="0">
      <w:start w:val="1"/>
      <w:numFmt w:val="decimal"/>
      <w:suff w:val="nothing"/>
      <w:lvlText w:val="%1、"/>
      <w:lvlJc w:val="left"/>
      <w:pPr>
        <w:ind w:left="210"/>
      </w:pPr>
    </w:lvl>
  </w:abstractNum>
  <w:abstractNum w:abstractNumId="2">
    <w:nsid w:val="DD94F1EC"/>
    <w:multiLevelType w:val="singleLevel"/>
    <w:tmpl w:val="DD94F1EC"/>
    <w:lvl w:ilvl="0" w:tentative="0">
      <w:start w:val="1"/>
      <w:numFmt w:val="decimal"/>
      <w:suff w:val="nothing"/>
      <w:lvlText w:val="%1、"/>
      <w:lvlJc w:val="left"/>
    </w:lvl>
  </w:abstractNum>
  <w:abstractNum w:abstractNumId="3">
    <w:nsid w:val="E806A0F4"/>
    <w:multiLevelType w:val="singleLevel"/>
    <w:tmpl w:val="E806A0F4"/>
    <w:lvl w:ilvl="0" w:tentative="0">
      <w:start w:val="2"/>
      <w:numFmt w:val="decimal"/>
      <w:suff w:val="space"/>
      <w:lvlText w:val="%1."/>
      <w:lvlJc w:val="left"/>
    </w:lvl>
  </w:abstractNum>
  <w:abstractNum w:abstractNumId="4">
    <w:nsid w:val="7C6C9273"/>
    <w:multiLevelType w:val="singleLevel"/>
    <w:tmpl w:val="7C6C9273"/>
    <w:lvl w:ilvl="0" w:tentative="0">
      <w:start w:val="4"/>
      <w:numFmt w:val="decimal"/>
      <w:suff w:val="nothing"/>
      <w:lvlText w:val="%1、"/>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18C5565"/>
    <w:rsid w:val="01FA7D81"/>
    <w:rsid w:val="026F59FE"/>
    <w:rsid w:val="02BE598D"/>
    <w:rsid w:val="03683C27"/>
    <w:rsid w:val="040457CD"/>
    <w:rsid w:val="042C3965"/>
    <w:rsid w:val="06E22BD9"/>
    <w:rsid w:val="07733550"/>
    <w:rsid w:val="07D459E5"/>
    <w:rsid w:val="0CF815A1"/>
    <w:rsid w:val="0DF20A80"/>
    <w:rsid w:val="10254F0A"/>
    <w:rsid w:val="10DB2F30"/>
    <w:rsid w:val="157B3666"/>
    <w:rsid w:val="194302C3"/>
    <w:rsid w:val="1C61021D"/>
    <w:rsid w:val="274C5D72"/>
    <w:rsid w:val="2BC931C3"/>
    <w:rsid w:val="2D056D92"/>
    <w:rsid w:val="3030139E"/>
    <w:rsid w:val="340D5E76"/>
    <w:rsid w:val="34542DF7"/>
    <w:rsid w:val="36305E8B"/>
    <w:rsid w:val="36A14E57"/>
    <w:rsid w:val="36C90B5F"/>
    <w:rsid w:val="37FF14F7"/>
    <w:rsid w:val="3BA225EF"/>
    <w:rsid w:val="3C15464B"/>
    <w:rsid w:val="3D1C2CF6"/>
    <w:rsid w:val="3D4A28B8"/>
    <w:rsid w:val="3DAB17BA"/>
    <w:rsid w:val="3EFC2A3B"/>
    <w:rsid w:val="401663B0"/>
    <w:rsid w:val="406728A8"/>
    <w:rsid w:val="427C45A1"/>
    <w:rsid w:val="46B42A0C"/>
    <w:rsid w:val="47EE7BA9"/>
    <w:rsid w:val="48DF429B"/>
    <w:rsid w:val="4C4A1416"/>
    <w:rsid w:val="532A2681"/>
    <w:rsid w:val="533C039D"/>
    <w:rsid w:val="533C1C80"/>
    <w:rsid w:val="559F5609"/>
    <w:rsid w:val="566A1EA8"/>
    <w:rsid w:val="587C3438"/>
    <w:rsid w:val="5D895515"/>
    <w:rsid w:val="5E8D2778"/>
    <w:rsid w:val="5F85532D"/>
    <w:rsid w:val="5FAD406B"/>
    <w:rsid w:val="60E36D1E"/>
    <w:rsid w:val="63D22FD5"/>
    <w:rsid w:val="64782954"/>
    <w:rsid w:val="65CA0C29"/>
    <w:rsid w:val="66C33328"/>
    <w:rsid w:val="67E74384"/>
    <w:rsid w:val="707E5720"/>
    <w:rsid w:val="732919FE"/>
    <w:rsid w:val="74C47221"/>
    <w:rsid w:val="75525CDC"/>
    <w:rsid w:val="780C2313"/>
    <w:rsid w:val="7E0F1601"/>
    <w:rsid w:val="7F105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7022</Words>
  <Characters>7132</Characters>
  <Lines>0</Lines>
  <Paragraphs>0</Paragraphs>
  <TotalTime>2</TotalTime>
  <ScaleCrop>false</ScaleCrop>
  <LinksUpToDate>false</LinksUpToDate>
  <CharactersWithSpaces>7410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2025-04-24T01:50:00Z</dcterms:created>
  <dc:creator>心云间</dc:creator>
  <cp:lastModifiedBy>一半</cp:lastModifiedBy>
  <dcterms:modified xsi:type="dcterms:W3CDTF">2025-11-24T00:35:48Z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71C43E7E3CE8451EA34FC9836FCD8324_13</vt:lpwstr>
  </property>
  <property fmtid="{D5CDD505-2E9C-101B-9397-08002B2CF9AE}" pid="4" name="KSOTemplateDocerSaveRecord">
    <vt:lpwstr>eyJoZGlkIjoiOGZkOTc2N2JjMGUyMmEyMTk1ZDRlNzNiNDM5ZTI4NWEiLCJ1c2VySWQiOiIxMTM3MTQ0OTYzIn0=</vt:lpwstr>
  </property>
</Properties>
</file>