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1AF83D">
      <w:pPr>
        <w:snapToGrid w:val="0"/>
        <w:rPr>
          <w:rFonts w:hint="eastAsia" w:ascii="仿宋" w:hAnsi="仿宋" w:eastAsia="仿宋" w:cs="仿宋"/>
          <w:sz w:val="30"/>
          <w:szCs w:val="30"/>
        </w:rPr>
      </w:pPr>
      <w:r>
        <w:rPr>
          <w:rFonts w:hint="eastAsia" w:ascii="仿宋" w:hAnsi="仿宋" w:eastAsia="仿宋" w:cs="仿宋"/>
          <w:sz w:val="30"/>
          <w:szCs w:val="30"/>
        </w:rPr>
        <w:t>附件1：</w:t>
      </w:r>
    </w:p>
    <w:p w14:paraId="37B201C5">
      <w:pPr>
        <w:jc w:val="center"/>
        <w:rPr>
          <w:rFonts w:hint="eastAsia" w:ascii="宋体" w:hAnsi="宋体" w:eastAsia="宋体" w:cs="宋体"/>
          <w:b/>
          <w:bCs/>
          <w:sz w:val="36"/>
          <w:szCs w:val="36"/>
        </w:rPr>
      </w:pPr>
      <w:r>
        <w:rPr>
          <w:rFonts w:hint="eastAsia" w:ascii="宋体" w:hAnsi="宋体" w:eastAsia="宋体" w:cs="宋体"/>
          <w:b/>
          <w:bCs/>
          <w:sz w:val="36"/>
          <w:szCs w:val="36"/>
        </w:rPr>
        <w:t>福州英华职业学院专业诊断与改进评估专家评估问题清单及整改建议</w:t>
      </w:r>
      <w:bookmarkStart w:id="3" w:name="_GoBack"/>
      <w:bookmarkEnd w:id="3"/>
    </w:p>
    <w:p w14:paraId="42FAB297">
      <w:pPr>
        <w:spacing w:line="500" w:lineRule="exact"/>
        <w:rPr>
          <w:rFonts w:hint="eastAsia" w:ascii="仿宋" w:hAnsi="仿宋" w:eastAsia="仿宋" w:cs="仿宋"/>
          <w:b/>
          <w:bCs/>
          <w:sz w:val="24"/>
        </w:rPr>
      </w:pPr>
      <w:r>
        <w:rPr>
          <w:rFonts w:hint="eastAsia" w:ascii="仿宋" w:hAnsi="仿宋" w:eastAsia="仿宋" w:cs="仿宋"/>
          <w:b/>
          <w:bCs/>
          <w:sz w:val="24"/>
        </w:rPr>
        <w:t>系部：</w:t>
      </w:r>
      <w:r>
        <w:rPr>
          <w:rFonts w:hint="eastAsia" w:ascii="仿宋" w:hAnsi="仿宋" w:eastAsia="仿宋" w:cs="仿宋"/>
          <w:b/>
          <w:bCs/>
          <w:sz w:val="24"/>
          <w:u w:val="single"/>
        </w:rPr>
        <w:t xml:space="preserve"> </w:t>
      </w:r>
      <w:r>
        <w:rPr>
          <w:rFonts w:hint="eastAsia" w:ascii="仿宋" w:hAnsi="仿宋" w:eastAsia="仿宋" w:cs="仿宋"/>
          <w:b/>
          <w:bCs/>
          <w:sz w:val="24"/>
          <w:u w:val="single"/>
          <w:lang w:val="en-US" w:eastAsia="zh-CN"/>
        </w:rPr>
        <w:t>教育与外语系</w:t>
      </w:r>
      <w:r>
        <w:rPr>
          <w:rFonts w:hint="eastAsia" w:ascii="仿宋" w:hAnsi="仿宋" w:eastAsia="仿宋" w:cs="仿宋"/>
          <w:b/>
          <w:bCs/>
          <w:sz w:val="24"/>
          <w:u w:val="single"/>
        </w:rPr>
        <w:t xml:space="preserve">                              </w:t>
      </w:r>
      <w:r>
        <w:rPr>
          <w:rFonts w:hint="eastAsia" w:ascii="仿宋" w:hAnsi="仿宋" w:eastAsia="仿宋" w:cs="仿宋"/>
          <w:b/>
          <w:bCs/>
          <w:sz w:val="24"/>
        </w:rPr>
        <w:t xml:space="preserve">                                   专业：</w:t>
      </w:r>
      <w:r>
        <w:rPr>
          <w:rFonts w:hint="eastAsia" w:ascii="仿宋" w:hAnsi="仿宋" w:eastAsia="仿宋" w:cs="仿宋"/>
          <w:b/>
          <w:bCs/>
          <w:sz w:val="24"/>
          <w:u w:val="single"/>
        </w:rPr>
        <w:t xml:space="preserve"> </w:t>
      </w:r>
      <w:r>
        <w:rPr>
          <w:rFonts w:hint="eastAsia" w:ascii="仿宋" w:hAnsi="仿宋" w:eastAsia="仿宋" w:cs="仿宋"/>
          <w:b/>
          <w:bCs/>
          <w:sz w:val="24"/>
          <w:u w:val="single"/>
          <w:lang w:val="en-US" w:eastAsia="zh-CN"/>
        </w:rPr>
        <w:t>学前教育</w:t>
      </w:r>
      <w:r>
        <w:rPr>
          <w:rFonts w:hint="eastAsia" w:ascii="仿宋" w:hAnsi="仿宋" w:eastAsia="仿宋" w:cs="仿宋"/>
          <w:b/>
          <w:bCs/>
          <w:sz w:val="24"/>
          <w:u w:val="single"/>
        </w:rPr>
        <w:t xml:space="preserve">                          </w:t>
      </w:r>
      <w:r>
        <w:rPr>
          <w:rFonts w:hint="eastAsia" w:ascii="仿宋" w:hAnsi="仿宋" w:eastAsia="仿宋" w:cs="仿宋"/>
          <w:b/>
          <w:bCs/>
          <w:sz w:val="24"/>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0"/>
        <w:gridCol w:w="2769"/>
        <w:gridCol w:w="4800"/>
        <w:gridCol w:w="4701"/>
      </w:tblGrid>
      <w:tr w14:paraId="6C348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1950" w:type="dxa"/>
            <w:vAlign w:val="center"/>
          </w:tcPr>
          <w:p w14:paraId="26A22466">
            <w:pPr>
              <w:jc w:val="center"/>
              <w:rPr>
                <w:rFonts w:hint="eastAsia" w:ascii="仿宋" w:hAnsi="仿宋" w:eastAsia="仿宋" w:cs="仿宋"/>
                <w:b/>
                <w:bCs/>
                <w:sz w:val="24"/>
              </w:rPr>
            </w:pPr>
            <w:r>
              <w:rPr>
                <w:rFonts w:hint="eastAsia" w:ascii="仿宋" w:hAnsi="仿宋" w:eastAsia="仿宋" w:cs="仿宋"/>
                <w:b/>
                <w:bCs/>
                <w:sz w:val="24"/>
              </w:rPr>
              <w:t>一级指标</w:t>
            </w:r>
          </w:p>
        </w:tc>
        <w:tc>
          <w:tcPr>
            <w:tcW w:w="2769" w:type="dxa"/>
            <w:vAlign w:val="center"/>
          </w:tcPr>
          <w:p w14:paraId="355B12DB">
            <w:pPr>
              <w:jc w:val="center"/>
              <w:rPr>
                <w:rFonts w:hint="eastAsia" w:ascii="仿宋" w:hAnsi="仿宋" w:eastAsia="仿宋" w:cs="仿宋"/>
                <w:b/>
                <w:bCs/>
                <w:sz w:val="24"/>
              </w:rPr>
            </w:pPr>
            <w:r>
              <w:rPr>
                <w:rFonts w:hint="eastAsia" w:ascii="仿宋" w:hAnsi="仿宋" w:eastAsia="仿宋" w:cs="仿宋"/>
                <w:b/>
                <w:bCs/>
                <w:sz w:val="24"/>
              </w:rPr>
              <w:t>二级指标</w:t>
            </w:r>
          </w:p>
        </w:tc>
        <w:tc>
          <w:tcPr>
            <w:tcW w:w="4800" w:type="dxa"/>
            <w:vAlign w:val="center"/>
          </w:tcPr>
          <w:p w14:paraId="01EF1F13">
            <w:pPr>
              <w:jc w:val="center"/>
              <w:rPr>
                <w:rFonts w:hint="eastAsia" w:ascii="仿宋" w:hAnsi="仿宋" w:eastAsia="仿宋" w:cs="仿宋"/>
                <w:b/>
                <w:bCs/>
                <w:sz w:val="24"/>
              </w:rPr>
            </w:pPr>
            <w:bookmarkStart w:id="0" w:name="OLE_LINK2"/>
            <w:r>
              <w:rPr>
                <w:rFonts w:hint="eastAsia" w:ascii="仿宋" w:hAnsi="仿宋" w:eastAsia="仿宋" w:cs="仿宋"/>
                <w:b/>
                <w:bCs/>
                <w:sz w:val="24"/>
              </w:rPr>
              <w:t>问题表述</w:t>
            </w:r>
            <w:bookmarkEnd w:id="0"/>
          </w:p>
        </w:tc>
        <w:tc>
          <w:tcPr>
            <w:tcW w:w="4701" w:type="dxa"/>
            <w:vAlign w:val="center"/>
          </w:tcPr>
          <w:p w14:paraId="4D87C244">
            <w:pPr>
              <w:jc w:val="center"/>
              <w:rPr>
                <w:rFonts w:hint="eastAsia" w:ascii="仿宋" w:hAnsi="仿宋" w:eastAsia="仿宋" w:cs="仿宋"/>
                <w:b/>
                <w:bCs/>
                <w:sz w:val="24"/>
              </w:rPr>
            </w:pPr>
            <w:r>
              <w:rPr>
                <w:rFonts w:hint="eastAsia" w:ascii="仿宋" w:hAnsi="仿宋" w:eastAsia="仿宋" w:cs="仿宋"/>
                <w:b/>
                <w:bCs/>
                <w:sz w:val="24"/>
              </w:rPr>
              <w:t>整改建议</w:t>
            </w:r>
          </w:p>
        </w:tc>
      </w:tr>
      <w:tr w14:paraId="72F95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35CDB12C">
            <w:pPr>
              <w:jc w:val="center"/>
              <w:rPr>
                <w:rFonts w:hint="eastAsia" w:ascii="仿宋" w:hAnsi="仿宋" w:eastAsia="仿宋" w:cs="仿宋"/>
                <w:sz w:val="24"/>
              </w:rPr>
            </w:pPr>
            <w:r>
              <w:rPr>
                <w:rFonts w:hint="eastAsia" w:ascii="仿宋" w:hAnsi="仿宋" w:eastAsia="仿宋" w:cs="仿宋"/>
                <w:sz w:val="24"/>
              </w:rPr>
              <w:t>1.专业定位、规划与专业管理</w:t>
            </w:r>
          </w:p>
        </w:tc>
        <w:tc>
          <w:tcPr>
            <w:tcW w:w="2769" w:type="dxa"/>
            <w:vMerge w:val="restart"/>
            <w:vAlign w:val="center"/>
          </w:tcPr>
          <w:p w14:paraId="2F12B562">
            <w:pPr>
              <w:snapToGrid w:val="0"/>
              <w:jc w:val="left"/>
              <w:rPr>
                <w:rFonts w:hint="eastAsia" w:ascii="仿宋" w:hAnsi="仿宋" w:eastAsia="仿宋" w:cs="仿宋"/>
                <w:sz w:val="24"/>
              </w:rPr>
            </w:pPr>
            <w:r>
              <w:rPr>
                <w:rFonts w:hint="eastAsia" w:ascii="仿宋" w:hAnsi="仿宋" w:eastAsia="仿宋" w:cs="仿宋"/>
                <w:sz w:val="24"/>
              </w:rPr>
              <w:t>1.1专业定位</w:t>
            </w:r>
          </w:p>
        </w:tc>
        <w:tc>
          <w:tcPr>
            <w:tcW w:w="4800" w:type="dxa"/>
            <w:vAlign w:val="center"/>
          </w:tcPr>
          <w:p w14:paraId="186386F2">
            <w:pPr>
              <w:widowControl/>
              <w:jc w:val="left"/>
              <w:textAlignment w:val="center"/>
              <w:rPr>
                <w:rFonts w:hint="eastAsia" w:ascii="仿宋" w:hAnsi="仿宋" w:eastAsia="仿宋" w:cs="仿宋"/>
                <w:color w:val="000000"/>
                <w:kern w:val="0"/>
                <w:sz w:val="24"/>
                <w:lang w:bidi="ar"/>
              </w:rPr>
            </w:pPr>
            <w:r>
              <w:rPr>
                <w:rFonts w:hint="eastAsia" w:ascii="仿宋" w:hAnsi="仿宋" w:cs="仿宋"/>
                <w:color w:val="000000"/>
                <w:sz w:val="24"/>
                <w:lang w:bidi="ar"/>
              </w:rPr>
              <w:t>1.</w:t>
            </w:r>
            <w:r>
              <w:rPr>
                <w:rFonts w:hint="eastAsia" w:ascii="仿宋" w:hAnsi="仿宋" w:eastAsia="仿宋" w:cs="仿宋"/>
                <w:color w:val="000000"/>
                <w:kern w:val="0"/>
                <w:sz w:val="24"/>
                <w:lang w:bidi="ar"/>
              </w:rPr>
              <w:t>专业定位中适应经济结构调整和产业转型升级需要，根据经济社会和产业发展新趋势对技术技能人才需求的变化不够明显，例如，随着少子化现象的产生，学前教育专业定位做了什么样的调整？</w:t>
            </w:r>
          </w:p>
          <w:p w14:paraId="7BC5469E">
            <w:pPr>
              <w:widowControl/>
              <w:jc w:val="left"/>
              <w:textAlignment w:val="center"/>
              <w:rPr>
                <w:rFonts w:hint="eastAsia" w:ascii="仿宋" w:hAnsi="仿宋" w:eastAsia="仿宋" w:cs="仿宋"/>
                <w:sz w:val="24"/>
              </w:rPr>
            </w:pPr>
          </w:p>
        </w:tc>
        <w:tc>
          <w:tcPr>
            <w:tcW w:w="4701" w:type="dxa"/>
            <w:vAlign w:val="center"/>
          </w:tcPr>
          <w:p w14:paraId="5A330951">
            <w:pPr>
              <w:jc w:val="left"/>
              <w:rPr>
                <w:rFonts w:hint="eastAsia" w:ascii="仿宋" w:hAnsi="仿宋" w:eastAsia="仿宋" w:cs="仿宋"/>
                <w:sz w:val="24"/>
              </w:rPr>
            </w:pPr>
            <w:r>
              <w:rPr>
                <w:rFonts w:hint="eastAsia" w:ascii="仿宋" w:hAnsi="仿宋" w:eastAsia="仿宋" w:cs="仿宋"/>
                <w:sz w:val="24"/>
              </w:rPr>
              <w:t>专业调研需更深入，发现“真问题”，结合地方经济结构调整和产业转型升级作出相应的调整</w:t>
            </w:r>
          </w:p>
        </w:tc>
      </w:tr>
      <w:tr w14:paraId="6E973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003CD9F2">
            <w:pPr>
              <w:jc w:val="center"/>
              <w:rPr>
                <w:rFonts w:hint="eastAsia" w:ascii="仿宋" w:hAnsi="仿宋" w:eastAsia="仿宋" w:cs="仿宋"/>
                <w:sz w:val="24"/>
              </w:rPr>
            </w:pPr>
          </w:p>
        </w:tc>
        <w:tc>
          <w:tcPr>
            <w:tcW w:w="2769" w:type="dxa"/>
            <w:vMerge w:val="continue"/>
            <w:vAlign w:val="center"/>
          </w:tcPr>
          <w:p w14:paraId="023D99BC">
            <w:pPr>
              <w:snapToGrid w:val="0"/>
              <w:jc w:val="left"/>
              <w:rPr>
                <w:rFonts w:hint="eastAsia" w:ascii="仿宋" w:hAnsi="仿宋" w:eastAsia="仿宋" w:cs="仿宋"/>
                <w:sz w:val="24"/>
              </w:rPr>
            </w:pPr>
          </w:p>
        </w:tc>
        <w:tc>
          <w:tcPr>
            <w:tcW w:w="4800" w:type="dxa"/>
            <w:vAlign w:val="center"/>
          </w:tcPr>
          <w:p w14:paraId="08F2888E">
            <w:pPr>
              <w:keepNext w:val="0"/>
              <w:keepLines w:val="0"/>
              <w:widowControl/>
              <w:suppressLineNumbers w:val="0"/>
              <w:jc w:val="left"/>
              <w:textAlignment w:val="center"/>
              <w:rPr>
                <w:rFonts w:hint="eastAsia" w:ascii="仿宋" w:hAnsi="仿宋" w:eastAsia="仿宋" w:cs="仿宋"/>
                <w:sz w:val="24"/>
              </w:rPr>
            </w:pPr>
            <w:r>
              <w:rPr>
                <w:rFonts w:hint="eastAsia" w:ascii="仿宋" w:hAnsi="仿宋" w:eastAsia="仿宋" w:cs="仿宋"/>
                <w:i w:val="0"/>
                <w:iCs w:val="0"/>
                <w:color w:val="000000"/>
                <w:kern w:val="0"/>
                <w:sz w:val="24"/>
                <w:szCs w:val="24"/>
                <w:u w:val="none"/>
                <w:lang w:val="en-US" w:eastAsia="zh-CN" w:bidi="ar"/>
              </w:rPr>
              <w:t>2.专业定位仍局限于“幼儿园教师”传统角色，未对接托育、课程研发等延伸岗位</w:t>
            </w:r>
          </w:p>
        </w:tc>
        <w:tc>
          <w:tcPr>
            <w:tcW w:w="4701" w:type="dxa"/>
            <w:vAlign w:val="center"/>
          </w:tcPr>
          <w:p w14:paraId="2320EDBD">
            <w:pPr>
              <w:jc w:val="left"/>
              <w:rPr>
                <w:rFonts w:hint="eastAsia" w:ascii="仿宋" w:hAnsi="仿宋" w:eastAsia="仿宋" w:cs="仿宋"/>
                <w:sz w:val="24"/>
              </w:rPr>
            </w:pPr>
            <w:r>
              <w:rPr>
                <w:rFonts w:hint="eastAsia" w:ascii="仿宋" w:hAnsi="仿宋" w:eastAsia="仿宋" w:cs="仿宋"/>
                <w:sz w:val="24"/>
                <w:szCs w:val="24"/>
                <w:vertAlign w:val="baseline"/>
                <w:lang w:val="en-US" w:eastAsia="zh-CN"/>
              </w:rPr>
              <w:t>拓展定位至“学前教育+托育+课程服务”复合型人才，构建专业群对接岗位群</w:t>
            </w:r>
          </w:p>
        </w:tc>
      </w:tr>
      <w:tr w14:paraId="6D85E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45020153">
            <w:pPr>
              <w:jc w:val="center"/>
              <w:rPr>
                <w:rFonts w:hint="eastAsia" w:ascii="仿宋" w:hAnsi="仿宋" w:eastAsia="仿宋" w:cs="仿宋"/>
                <w:sz w:val="24"/>
              </w:rPr>
            </w:pPr>
          </w:p>
        </w:tc>
        <w:tc>
          <w:tcPr>
            <w:tcW w:w="2769" w:type="dxa"/>
            <w:vMerge w:val="continue"/>
            <w:vAlign w:val="center"/>
          </w:tcPr>
          <w:p w14:paraId="23AE1E18">
            <w:pPr>
              <w:snapToGrid w:val="0"/>
              <w:jc w:val="left"/>
              <w:rPr>
                <w:rFonts w:hint="eastAsia" w:ascii="仿宋" w:hAnsi="仿宋" w:eastAsia="仿宋" w:cs="仿宋"/>
                <w:sz w:val="24"/>
              </w:rPr>
            </w:pPr>
          </w:p>
        </w:tc>
        <w:tc>
          <w:tcPr>
            <w:tcW w:w="4800" w:type="dxa"/>
            <w:vAlign w:val="center"/>
          </w:tcPr>
          <w:p w14:paraId="094F1BA0">
            <w:pPr>
              <w:keepNext w:val="0"/>
              <w:keepLines w:val="0"/>
              <w:widowControl/>
              <w:suppressLineNumbers w:val="0"/>
              <w:jc w:val="left"/>
              <w:textAlignment w:val="center"/>
              <w:rPr>
                <w:rFonts w:hint="eastAsia" w:ascii="仿宋" w:hAnsi="仿宋" w:eastAsia="仿宋" w:cs="仿宋"/>
                <w:sz w:val="24"/>
              </w:rPr>
            </w:pPr>
            <w:r>
              <w:rPr>
                <w:rFonts w:hint="eastAsia" w:ascii="仿宋" w:hAnsi="仿宋" w:eastAsia="仿宋" w:cs="仿宋"/>
                <w:i w:val="0"/>
                <w:iCs w:val="0"/>
                <w:color w:val="000000"/>
                <w:kern w:val="0"/>
                <w:sz w:val="24"/>
                <w:szCs w:val="24"/>
                <w:u w:val="none"/>
                <w:lang w:val="en-US" w:eastAsia="zh-CN" w:bidi="ar"/>
              </w:rPr>
              <w:t>3.定位未体现“数字化保教”“融合教育”新兴方向，缺乏前瞻性</w:t>
            </w:r>
          </w:p>
        </w:tc>
        <w:tc>
          <w:tcPr>
            <w:tcW w:w="4701" w:type="dxa"/>
            <w:vAlign w:val="center"/>
          </w:tcPr>
          <w:p w14:paraId="1F111AF1">
            <w:pPr>
              <w:jc w:val="left"/>
              <w:rPr>
                <w:rFonts w:hint="eastAsia" w:ascii="仿宋" w:hAnsi="仿宋" w:eastAsia="仿宋" w:cs="仿宋"/>
                <w:sz w:val="24"/>
              </w:rPr>
            </w:pPr>
            <w:r>
              <w:rPr>
                <w:rFonts w:hint="eastAsia" w:ascii="仿宋" w:hAnsi="仿宋" w:eastAsia="仿宋" w:cs="仿宋"/>
                <w:sz w:val="24"/>
                <w:szCs w:val="24"/>
                <w:vertAlign w:val="baseline"/>
                <w:lang w:val="en-US" w:eastAsia="zh-CN"/>
              </w:rPr>
              <w:t>将“数字化保教”“融合教育”纳入定位，开发对应课程模块与实训项目</w:t>
            </w:r>
          </w:p>
        </w:tc>
      </w:tr>
      <w:tr w14:paraId="2A4D2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7FEE6F7">
            <w:pPr>
              <w:jc w:val="center"/>
              <w:rPr>
                <w:rFonts w:hint="eastAsia" w:ascii="仿宋" w:hAnsi="仿宋" w:eastAsia="仿宋" w:cs="仿宋"/>
                <w:sz w:val="24"/>
              </w:rPr>
            </w:pPr>
          </w:p>
        </w:tc>
        <w:tc>
          <w:tcPr>
            <w:tcW w:w="2769" w:type="dxa"/>
            <w:vMerge w:val="restart"/>
            <w:vAlign w:val="center"/>
          </w:tcPr>
          <w:p w14:paraId="058BF3DB">
            <w:pPr>
              <w:snapToGrid w:val="0"/>
              <w:jc w:val="left"/>
              <w:rPr>
                <w:rFonts w:hint="eastAsia" w:ascii="仿宋" w:hAnsi="仿宋" w:eastAsia="仿宋" w:cs="仿宋"/>
                <w:sz w:val="24"/>
              </w:rPr>
            </w:pPr>
            <w:r>
              <w:rPr>
                <w:rFonts w:hint="eastAsia" w:ascii="仿宋" w:hAnsi="仿宋" w:eastAsia="仿宋" w:cs="仿宋"/>
                <w:sz w:val="24"/>
              </w:rPr>
              <w:t>1.2专业规划</w:t>
            </w:r>
          </w:p>
        </w:tc>
        <w:tc>
          <w:tcPr>
            <w:tcW w:w="4800" w:type="dxa"/>
            <w:vAlign w:val="center"/>
          </w:tcPr>
          <w:p w14:paraId="6516C776">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1.专业规划中提到了专业群建设，但没有具体说明专业群由什么专业组成，怎么建设</w:t>
            </w:r>
          </w:p>
        </w:tc>
        <w:tc>
          <w:tcPr>
            <w:tcW w:w="4701" w:type="dxa"/>
            <w:vAlign w:val="center"/>
          </w:tcPr>
          <w:p w14:paraId="35EEEED5">
            <w:pPr>
              <w:jc w:val="left"/>
              <w:rPr>
                <w:rFonts w:hint="eastAsia" w:ascii="仿宋" w:hAnsi="仿宋" w:eastAsia="仿宋" w:cs="仿宋"/>
                <w:sz w:val="24"/>
              </w:rPr>
            </w:pPr>
            <w:r>
              <w:rPr>
                <w:rFonts w:hint="eastAsia" w:ascii="仿宋" w:hAnsi="仿宋" w:eastAsia="仿宋" w:cs="仿宋"/>
                <w:sz w:val="24"/>
              </w:rPr>
              <w:t>明确专业群建设的思路</w:t>
            </w:r>
          </w:p>
        </w:tc>
      </w:tr>
      <w:tr w14:paraId="45328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447D27C">
            <w:pPr>
              <w:jc w:val="center"/>
              <w:rPr>
                <w:rFonts w:hint="eastAsia" w:ascii="仿宋" w:hAnsi="仿宋" w:eastAsia="仿宋" w:cs="仿宋"/>
                <w:sz w:val="24"/>
              </w:rPr>
            </w:pPr>
          </w:p>
        </w:tc>
        <w:tc>
          <w:tcPr>
            <w:tcW w:w="2769" w:type="dxa"/>
            <w:vMerge w:val="continue"/>
            <w:vAlign w:val="center"/>
          </w:tcPr>
          <w:p w14:paraId="6262C699">
            <w:pPr>
              <w:snapToGrid w:val="0"/>
              <w:jc w:val="left"/>
              <w:rPr>
                <w:rFonts w:hint="eastAsia" w:ascii="仿宋" w:hAnsi="仿宋" w:eastAsia="仿宋" w:cs="仿宋"/>
                <w:sz w:val="24"/>
              </w:rPr>
            </w:pPr>
          </w:p>
        </w:tc>
        <w:tc>
          <w:tcPr>
            <w:tcW w:w="4800" w:type="dxa"/>
            <w:vAlign w:val="center"/>
          </w:tcPr>
          <w:p w14:paraId="0269B679">
            <w:pPr>
              <w:widowControl/>
              <w:jc w:val="left"/>
              <w:textAlignment w:val="cente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2.缺少论证材料</w:t>
            </w:r>
          </w:p>
        </w:tc>
        <w:tc>
          <w:tcPr>
            <w:tcW w:w="4701" w:type="dxa"/>
            <w:vAlign w:val="center"/>
          </w:tcPr>
          <w:p w14:paraId="2C8A0019">
            <w:pPr>
              <w:jc w:val="left"/>
              <w:rPr>
                <w:rFonts w:hint="eastAsia" w:ascii="仿宋" w:hAnsi="仿宋" w:eastAsia="仿宋" w:cs="仿宋"/>
                <w:sz w:val="24"/>
              </w:rPr>
            </w:pPr>
            <w:r>
              <w:rPr>
                <w:rFonts w:hint="eastAsia" w:ascii="仿宋" w:hAnsi="仿宋" w:eastAsia="仿宋" w:cs="仿宋"/>
                <w:sz w:val="24"/>
              </w:rPr>
              <w:t>做好专家论证记录，作为规划的依据</w:t>
            </w:r>
          </w:p>
        </w:tc>
      </w:tr>
      <w:tr w14:paraId="1D8BC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0BF3EE1D">
            <w:pPr>
              <w:jc w:val="center"/>
              <w:rPr>
                <w:rFonts w:hint="eastAsia" w:ascii="仿宋" w:hAnsi="仿宋" w:eastAsia="仿宋" w:cs="仿宋"/>
                <w:sz w:val="24"/>
              </w:rPr>
            </w:pPr>
          </w:p>
        </w:tc>
        <w:tc>
          <w:tcPr>
            <w:tcW w:w="2769" w:type="dxa"/>
            <w:vMerge w:val="continue"/>
            <w:vAlign w:val="center"/>
          </w:tcPr>
          <w:p w14:paraId="51013AE8">
            <w:pPr>
              <w:snapToGrid w:val="0"/>
              <w:jc w:val="left"/>
              <w:rPr>
                <w:rFonts w:hint="eastAsia" w:ascii="仿宋" w:hAnsi="仿宋" w:eastAsia="仿宋" w:cs="仿宋"/>
                <w:sz w:val="24"/>
              </w:rPr>
            </w:pPr>
          </w:p>
        </w:tc>
        <w:tc>
          <w:tcPr>
            <w:tcW w:w="4800" w:type="dxa"/>
            <w:vAlign w:val="center"/>
          </w:tcPr>
          <w:p w14:paraId="66F92B92">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3.</w:t>
            </w:r>
            <w:r>
              <w:rPr>
                <w:rFonts w:hint="default" w:ascii="仿宋" w:hAnsi="仿宋" w:eastAsia="仿宋" w:cs="仿宋"/>
                <w:i w:val="0"/>
                <w:iCs w:val="0"/>
                <w:color w:val="000000"/>
                <w:kern w:val="0"/>
                <w:sz w:val="24"/>
                <w:szCs w:val="24"/>
                <w:u w:val="none"/>
                <w:lang w:val="en-US" w:eastAsia="zh-CN" w:bidi="ar"/>
              </w:rPr>
              <w:t>规划缺乏三年/五年阶段性目标，无动态调整机制</w:t>
            </w:r>
          </w:p>
        </w:tc>
        <w:tc>
          <w:tcPr>
            <w:tcW w:w="4701" w:type="dxa"/>
            <w:vAlign w:val="center"/>
          </w:tcPr>
          <w:p w14:paraId="7F1731F1">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建立“年度调研—反馈—修订”机制，制定三年滚动发展规划</w:t>
            </w:r>
          </w:p>
        </w:tc>
      </w:tr>
      <w:tr w14:paraId="50231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B695765">
            <w:pPr>
              <w:jc w:val="center"/>
              <w:rPr>
                <w:rFonts w:hint="eastAsia" w:ascii="仿宋" w:hAnsi="仿宋" w:eastAsia="仿宋" w:cs="仿宋"/>
                <w:sz w:val="24"/>
              </w:rPr>
            </w:pPr>
          </w:p>
        </w:tc>
        <w:tc>
          <w:tcPr>
            <w:tcW w:w="2769" w:type="dxa"/>
            <w:vMerge w:val="continue"/>
            <w:vAlign w:val="center"/>
          </w:tcPr>
          <w:p w14:paraId="40FDF888">
            <w:pPr>
              <w:snapToGrid w:val="0"/>
              <w:jc w:val="left"/>
              <w:rPr>
                <w:rFonts w:hint="eastAsia" w:ascii="仿宋" w:hAnsi="仿宋" w:eastAsia="仿宋" w:cs="仿宋"/>
                <w:sz w:val="24"/>
              </w:rPr>
            </w:pPr>
          </w:p>
        </w:tc>
        <w:tc>
          <w:tcPr>
            <w:tcW w:w="4800" w:type="dxa"/>
            <w:vAlign w:val="center"/>
          </w:tcPr>
          <w:p w14:paraId="2AA2BE82">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4.</w:t>
            </w:r>
            <w:r>
              <w:rPr>
                <w:rFonts w:hint="default" w:ascii="仿宋" w:hAnsi="仿宋" w:eastAsia="仿宋" w:cs="仿宋"/>
                <w:i w:val="0"/>
                <w:iCs w:val="0"/>
                <w:color w:val="000000"/>
                <w:kern w:val="0"/>
                <w:sz w:val="24"/>
                <w:szCs w:val="24"/>
                <w:u w:val="none"/>
                <w:lang w:val="en-US" w:eastAsia="zh-CN" w:bidi="ar"/>
              </w:rPr>
              <w:t>专业群未形成“托育+英语+美术”协同机制，资源整合度低</w:t>
            </w:r>
          </w:p>
        </w:tc>
        <w:tc>
          <w:tcPr>
            <w:tcW w:w="4701" w:type="dxa"/>
            <w:vAlign w:val="center"/>
          </w:tcPr>
          <w:p w14:paraId="3A206F29">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明确四专业协同路径，共建课程、共享基地、共用师资</w:t>
            </w:r>
          </w:p>
        </w:tc>
      </w:tr>
      <w:tr w14:paraId="4EB47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950" w:type="dxa"/>
            <w:vMerge w:val="continue"/>
            <w:vAlign w:val="center"/>
          </w:tcPr>
          <w:p w14:paraId="5AA2EB57">
            <w:pPr>
              <w:jc w:val="center"/>
              <w:rPr>
                <w:rFonts w:hint="eastAsia" w:ascii="仿宋" w:hAnsi="仿宋" w:eastAsia="仿宋" w:cs="仿宋"/>
                <w:sz w:val="24"/>
              </w:rPr>
            </w:pPr>
          </w:p>
        </w:tc>
        <w:tc>
          <w:tcPr>
            <w:tcW w:w="2769" w:type="dxa"/>
            <w:vMerge w:val="restart"/>
            <w:vAlign w:val="center"/>
          </w:tcPr>
          <w:p w14:paraId="56D7DF1A">
            <w:pPr>
              <w:snapToGrid w:val="0"/>
              <w:jc w:val="left"/>
              <w:rPr>
                <w:rFonts w:hint="eastAsia" w:ascii="仿宋" w:hAnsi="仿宋" w:eastAsia="仿宋" w:cs="仿宋"/>
                <w:sz w:val="24"/>
              </w:rPr>
            </w:pPr>
            <w:r>
              <w:rPr>
                <w:rFonts w:hint="eastAsia" w:ascii="仿宋" w:hAnsi="仿宋" w:eastAsia="仿宋" w:cs="仿宋"/>
                <w:sz w:val="24"/>
              </w:rPr>
              <w:t>1.3专业建设管理</w:t>
            </w:r>
          </w:p>
        </w:tc>
        <w:tc>
          <w:tcPr>
            <w:tcW w:w="4800" w:type="dxa"/>
            <w:vAlign w:val="center"/>
          </w:tcPr>
          <w:p w14:paraId="3296C715">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val="en-US" w:eastAsia="zh-CN" w:bidi="ar"/>
              </w:rPr>
              <w:t>1.</w:t>
            </w:r>
            <w:r>
              <w:rPr>
                <w:rFonts w:hint="eastAsia" w:ascii="仿宋" w:hAnsi="仿宋" w:eastAsia="仿宋" w:cs="仿宋"/>
                <w:color w:val="000000"/>
                <w:kern w:val="0"/>
                <w:sz w:val="24"/>
                <w:lang w:bidi="ar"/>
              </w:rPr>
              <w:t>材料中只看到了清单，没有看到具体的内容</w:t>
            </w:r>
          </w:p>
        </w:tc>
        <w:tc>
          <w:tcPr>
            <w:tcW w:w="4701" w:type="dxa"/>
            <w:vAlign w:val="center"/>
          </w:tcPr>
          <w:p w14:paraId="5D6033EA">
            <w:pPr>
              <w:jc w:val="left"/>
              <w:rPr>
                <w:rFonts w:hint="eastAsia" w:ascii="仿宋" w:hAnsi="仿宋" w:eastAsia="仿宋" w:cs="仿宋"/>
                <w:sz w:val="24"/>
              </w:rPr>
            </w:pPr>
          </w:p>
        </w:tc>
      </w:tr>
      <w:tr w14:paraId="1C150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4D68738A">
            <w:pPr>
              <w:jc w:val="center"/>
              <w:rPr>
                <w:rFonts w:hint="eastAsia" w:ascii="仿宋" w:hAnsi="仿宋" w:eastAsia="仿宋" w:cs="仿宋"/>
                <w:sz w:val="24"/>
              </w:rPr>
            </w:pPr>
          </w:p>
        </w:tc>
        <w:tc>
          <w:tcPr>
            <w:tcW w:w="2769" w:type="dxa"/>
            <w:vMerge w:val="continue"/>
            <w:vAlign w:val="center"/>
          </w:tcPr>
          <w:p w14:paraId="1BE38C84">
            <w:pPr>
              <w:snapToGrid w:val="0"/>
              <w:jc w:val="left"/>
              <w:rPr>
                <w:rFonts w:hint="eastAsia" w:ascii="仿宋" w:hAnsi="仿宋" w:eastAsia="仿宋" w:cs="仿宋"/>
                <w:sz w:val="24"/>
              </w:rPr>
            </w:pPr>
          </w:p>
        </w:tc>
        <w:tc>
          <w:tcPr>
            <w:tcW w:w="4800" w:type="dxa"/>
            <w:vAlign w:val="center"/>
          </w:tcPr>
          <w:p w14:paraId="2639B7F3">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2.</w:t>
            </w:r>
            <w:r>
              <w:rPr>
                <w:rFonts w:hint="default" w:ascii="仿宋" w:hAnsi="仿宋" w:eastAsia="仿宋" w:cs="仿宋"/>
                <w:i w:val="0"/>
                <w:iCs w:val="0"/>
                <w:color w:val="000000"/>
                <w:kern w:val="0"/>
                <w:sz w:val="24"/>
                <w:szCs w:val="24"/>
                <w:u w:val="none"/>
                <w:lang w:val="en-US" w:eastAsia="zh-CN" w:bidi="ar"/>
              </w:rPr>
              <w:t>教师缺乏常态化行业实践，课程内容与岗位脱节</w:t>
            </w:r>
          </w:p>
        </w:tc>
        <w:tc>
          <w:tcPr>
            <w:tcW w:w="4701" w:type="dxa"/>
            <w:vAlign w:val="center"/>
          </w:tcPr>
          <w:p w14:paraId="3717D067">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建立“园校协同”机制，教师每学期下园实践≥4周</w:t>
            </w:r>
          </w:p>
        </w:tc>
      </w:tr>
      <w:tr w14:paraId="6C309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1950" w:type="dxa"/>
            <w:vMerge w:val="continue"/>
            <w:vAlign w:val="center"/>
          </w:tcPr>
          <w:p w14:paraId="2AA51164">
            <w:pPr>
              <w:jc w:val="center"/>
              <w:rPr>
                <w:rFonts w:hint="eastAsia" w:ascii="仿宋" w:hAnsi="仿宋" w:eastAsia="仿宋" w:cs="仿宋"/>
                <w:sz w:val="24"/>
              </w:rPr>
            </w:pPr>
          </w:p>
        </w:tc>
        <w:tc>
          <w:tcPr>
            <w:tcW w:w="2769" w:type="dxa"/>
            <w:vMerge w:val="continue"/>
            <w:vAlign w:val="center"/>
          </w:tcPr>
          <w:p w14:paraId="40A4D5C3">
            <w:pPr>
              <w:snapToGrid w:val="0"/>
              <w:jc w:val="left"/>
              <w:rPr>
                <w:rFonts w:hint="eastAsia" w:ascii="仿宋" w:hAnsi="仿宋" w:eastAsia="仿宋" w:cs="仿宋"/>
                <w:sz w:val="24"/>
              </w:rPr>
            </w:pPr>
          </w:p>
        </w:tc>
        <w:tc>
          <w:tcPr>
            <w:tcW w:w="4800" w:type="dxa"/>
            <w:vAlign w:val="center"/>
          </w:tcPr>
          <w:p w14:paraId="0DC8810C">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3.</w:t>
            </w:r>
            <w:r>
              <w:rPr>
                <w:rFonts w:hint="default" w:ascii="仿宋" w:hAnsi="仿宋" w:eastAsia="仿宋" w:cs="仿宋"/>
                <w:i w:val="0"/>
                <w:iCs w:val="0"/>
                <w:color w:val="000000"/>
                <w:kern w:val="0"/>
                <w:sz w:val="24"/>
                <w:szCs w:val="24"/>
                <w:u w:val="none"/>
                <w:lang w:val="en-US" w:eastAsia="zh-CN" w:bidi="ar"/>
              </w:rPr>
              <w:t>数字化改造滞后，无资源更新与教师提升长效机制</w:t>
            </w:r>
          </w:p>
        </w:tc>
        <w:tc>
          <w:tcPr>
            <w:tcW w:w="4701" w:type="dxa"/>
            <w:vAlign w:val="center"/>
          </w:tcPr>
          <w:p w14:paraId="6DB33D83">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将数字化纳入中长期规划，季度更新资源库，常态化培训教师数字能力</w:t>
            </w:r>
          </w:p>
        </w:tc>
      </w:tr>
      <w:tr w14:paraId="42ECB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06BCE7E6">
            <w:pPr>
              <w:jc w:val="center"/>
              <w:rPr>
                <w:rFonts w:hint="eastAsia" w:ascii="仿宋" w:hAnsi="仿宋" w:eastAsia="仿宋" w:cs="仿宋"/>
                <w:sz w:val="24"/>
              </w:rPr>
            </w:pPr>
            <w:r>
              <w:rPr>
                <w:rFonts w:hint="eastAsia" w:ascii="仿宋" w:hAnsi="仿宋" w:eastAsia="仿宋" w:cs="仿宋"/>
                <w:sz w:val="24"/>
              </w:rPr>
              <w:t>2.人才培养方案</w:t>
            </w:r>
          </w:p>
        </w:tc>
        <w:tc>
          <w:tcPr>
            <w:tcW w:w="2769" w:type="dxa"/>
            <w:vMerge w:val="restart"/>
            <w:vAlign w:val="center"/>
          </w:tcPr>
          <w:p w14:paraId="181917E8">
            <w:pPr>
              <w:snapToGrid w:val="0"/>
              <w:jc w:val="left"/>
              <w:rPr>
                <w:rFonts w:hint="eastAsia" w:ascii="仿宋" w:hAnsi="仿宋" w:eastAsia="仿宋" w:cs="仿宋"/>
                <w:sz w:val="24"/>
              </w:rPr>
            </w:pPr>
            <w:r>
              <w:rPr>
                <w:rFonts w:hint="eastAsia" w:ascii="仿宋" w:hAnsi="仿宋" w:eastAsia="仿宋" w:cs="仿宋"/>
                <w:sz w:val="24"/>
              </w:rPr>
              <w:t>2.1培养目标</w:t>
            </w:r>
          </w:p>
        </w:tc>
        <w:tc>
          <w:tcPr>
            <w:tcW w:w="4800" w:type="dxa"/>
            <w:vAlign w:val="center"/>
          </w:tcPr>
          <w:p w14:paraId="15B6DF59">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val="en-US" w:eastAsia="zh-CN" w:bidi="ar"/>
              </w:rPr>
              <w:t>1.</w:t>
            </w:r>
            <w:r>
              <w:rPr>
                <w:rFonts w:hint="eastAsia" w:ascii="仿宋" w:hAnsi="仿宋" w:eastAsia="仿宋" w:cs="仿宋"/>
                <w:color w:val="000000"/>
                <w:kern w:val="0"/>
                <w:sz w:val="24"/>
                <w:lang w:bidi="ar"/>
              </w:rPr>
              <w:t>能结合国家标准文件进行制定，但缺少自己学校的特色</w:t>
            </w:r>
          </w:p>
        </w:tc>
        <w:tc>
          <w:tcPr>
            <w:tcW w:w="4701" w:type="dxa"/>
            <w:vAlign w:val="center"/>
          </w:tcPr>
          <w:p w14:paraId="23A3186C">
            <w:pPr>
              <w:jc w:val="left"/>
              <w:rPr>
                <w:rFonts w:hint="eastAsia" w:ascii="仿宋" w:hAnsi="仿宋" w:eastAsia="仿宋" w:cs="仿宋"/>
                <w:sz w:val="24"/>
              </w:rPr>
            </w:pPr>
            <w:r>
              <w:rPr>
                <w:rFonts w:hint="eastAsia" w:ascii="仿宋" w:hAnsi="仿宋" w:eastAsia="仿宋" w:cs="仿宋"/>
                <w:sz w:val="24"/>
              </w:rPr>
              <w:t>建议从学校层面分析学校办学前教育的优势和特点在哪里，在培养目标中可以融入</w:t>
            </w:r>
          </w:p>
        </w:tc>
      </w:tr>
      <w:tr w14:paraId="27846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203F8BD6">
            <w:pPr>
              <w:jc w:val="center"/>
              <w:rPr>
                <w:rFonts w:hint="eastAsia" w:ascii="仿宋" w:hAnsi="仿宋" w:eastAsia="仿宋" w:cs="仿宋"/>
                <w:sz w:val="24"/>
              </w:rPr>
            </w:pPr>
          </w:p>
        </w:tc>
        <w:tc>
          <w:tcPr>
            <w:tcW w:w="2769" w:type="dxa"/>
            <w:vMerge w:val="continue"/>
            <w:vAlign w:val="center"/>
          </w:tcPr>
          <w:p w14:paraId="44DE71AB">
            <w:pPr>
              <w:snapToGrid w:val="0"/>
              <w:jc w:val="left"/>
              <w:rPr>
                <w:rFonts w:hint="eastAsia" w:ascii="仿宋" w:hAnsi="仿宋" w:eastAsia="仿宋" w:cs="仿宋"/>
                <w:sz w:val="24"/>
              </w:rPr>
            </w:pPr>
          </w:p>
        </w:tc>
        <w:tc>
          <w:tcPr>
            <w:tcW w:w="4800" w:type="dxa"/>
            <w:vAlign w:val="center"/>
          </w:tcPr>
          <w:p w14:paraId="29AF9CF8">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2.</w:t>
            </w:r>
            <w:r>
              <w:rPr>
                <w:rFonts w:hint="default" w:ascii="仿宋" w:hAnsi="仿宋" w:eastAsia="仿宋" w:cs="仿宋"/>
                <w:i w:val="0"/>
                <w:iCs w:val="0"/>
                <w:color w:val="000000"/>
                <w:kern w:val="0"/>
                <w:sz w:val="24"/>
                <w:szCs w:val="24"/>
                <w:u w:val="none"/>
                <w:lang w:val="en-US" w:eastAsia="zh-CN" w:bidi="ar"/>
              </w:rPr>
              <w:t>目标未明确“高精尖缺”岗位能力（如课程研发、机构运营）</w:t>
            </w:r>
          </w:p>
        </w:tc>
        <w:tc>
          <w:tcPr>
            <w:tcW w:w="4701" w:type="dxa"/>
            <w:vAlign w:val="center"/>
          </w:tcPr>
          <w:p w14:paraId="6E99706D">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联合行业协会调研高端岗位能力，2026级人培增设“课程研发”“园所管理”模块</w:t>
            </w:r>
          </w:p>
        </w:tc>
      </w:tr>
      <w:tr w14:paraId="3A026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056BD65F">
            <w:pPr>
              <w:jc w:val="center"/>
              <w:rPr>
                <w:rFonts w:hint="eastAsia" w:ascii="仿宋" w:hAnsi="仿宋" w:eastAsia="仿宋" w:cs="仿宋"/>
                <w:sz w:val="24"/>
              </w:rPr>
            </w:pPr>
          </w:p>
        </w:tc>
        <w:tc>
          <w:tcPr>
            <w:tcW w:w="2769" w:type="dxa"/>
            <w:vMerge w:val="continue"/>
            <w:vAlign w:val="center"/>
          </w:tcPr>
          <w:p w14:paraId="54F84692">
            <w:pPr>
              <w:snapToGrid w:val="0"/>
              <w:jc w:val="left"/>
              <w:rPr>
                <w:rFonts w:hint="eastAsia" w:ascii="仿宋" w:hAnsi="仿宋" w:eastAsia="仿宋" w:cs="仿宋"/>
                <w:sz w:val="24"/>
              </w:rPr>
            </w:pPr>
          </w:p>
        </w:tc>
        <w:tc>
          <w:tcPr>
            <w:tcW w:w="4800" w:type="dxa"/>
            <w:vAlign w:val="center"/>
          </w:tcPr>
          <w:p w14:paraId="5F5F73EC">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3.</w:t>
            </w:r>
            <w:r>
              <w:rPr>
                <w:rFonts w:hint="default" w:ascii="仿宋" w:hAnsi="仿宋" w:eastAsia="仿宋" w:cs="仿宋"/>
                <w:i w:val="0"/>
                <w:iCs w:val="0"/>
                <w:color w:val="000000"/>
                <w:kern w:val="0"/>
                <w:sz w:val="24"/>
                <w:szCs w:val="24"/>
                <w:u w:val="none"/>
                <w:lang w:val="en-US" w:eastAsia="zh-CN" w:bidi="ar"/>
              </w:rPr>
              <w:t>“数字化教学”“托育服务”目标无具体能力指标</w:t>
            </w:r>
          </w:p>
        </w:tc>
        <w:tc>
          <w:tcPr>
            <w:tcW w:w="4701" w:type="dxa"/>
            <w:vAlign w:val="center"/>
          </w:tcPr>
          <w:p w14:paraId="0ACE19E5">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细化“数字化教学设计”“托育机构运营”能力指标，构建对应课程链条</w:t>
            </w:r>
          </w:p>
        </w:tc>
      </w:tr>
      <w:tr w14:paraId="6CF79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2EB0218A">
            <w:pPr>
              <w:jc w:val="center"/>
              <w:rPr>
                <w:rFonts w:hint="eastAsia" w:ascii="仿宋" w:hAnsi="仿宋" w:eastAsia="仿宋" w:cs="仿宋"/>
                <w:sz w:val="24"/>
              </w:rPr>
            </w:pPr>
          </w:p>
        </w:tc>
        <w:tc>
          <w:tcPr>
            <w:tcW w:w="2769" w:type="dxa"/>
            <w:vMerge w:val="restart"/>
            <w:vAlign w:val="center"/>
          </w:tcPr>
          <w:p w14:paraId="4664C973">
            <w:pPr>
              <w:snapToGrid w:val="0"/>
              <w:jc w:val="left"/>
              <w:rPr>
                <w:rFonts w:hint="eastAsia" w:ascii="仿宋" w:hAnsi="仿宋" w:eastAsia="仿宋" w:cs="仿宋"/>
                <w:sz w:val="24"/>
              </w:rPr>
            </w:pPr>
            <w:r>
              <w:rPr>
                <w:rFonts w:hint="eastAsia" w:ascii="仿宋" w:hAnsi="仿宋" w:eastAsia="仿宋" w:cs="仿宋"/>
                <w:sz w:val="24"/>
              </w:rPr>
              <w:t>2.2人才培养模式</w:t>
            </w:r>
          </w:p>
        </w:tc>
        <w:tc>
          <w:tcPr>
            <w:tcW w:w="4800" w:type="dxa"/>
            <w:vAlign w:val="center"/>
          </w:tcPr>
          <w:p w14:paraId="239118E5">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1.共学结合不够深入</w:t>
            </w:r>
          </w:p>
        </w:tc>
        <w:tc>
          <w:tcPr>
            <w:tcW w:w="4701" w:type="dxa"/>
            <w:vAlign w:val="center"/>
          </w:tcPr>
          <w:p w14:paraId="1074D40C">
            <w:pPr>
              <w:jc w:val="left"/>
              <w:rPr>
                <w:rFonts w:hint="eastAsia" w:ascii="仿宋" w:hAnsi="仿宋" w:eastAsia="仿宋" w:cs="仿宋"/>
                <w:sz w:val="24"/>
              </w:rPr>
            </w:pPr>
            <w:r>
              <w:rPr>
                <w:rFonts w:hint="eastAsia" w:ascii="仿宋" w:hAnsi="仿宋" w:eastAsia="仿宋" w:cs="仿宋"/>
                <w:sz w:val="24"/>
              </w:rPr>
              <w:t>从工学结合的深度和广度上进行拓展</w:t>
            </w:r>
          </w:p>
        </w:tc>
      </w:tr>
      <w:tr w14:paraId="5C38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712CFC05">
            <w:pPr>
              <w:jc w:val="center"/>
              <w:rPr>
                <w:rFonts w:hint="eastAsia" w:ascii="仿宋" w:hAnsi="仿宋" w:eastAsia="仿宋" w:cs="仿宋"/>
                <w:sz w:val="24"/>
              </w:rPr>
            </w:pPr>
          </w:p>
        </w:tc>
        <w:tc>
          <w:tcPr>
            <w:tcW w:w="2769" w:type="dxa"/>
            <w:vMerge w:val="continue"/>
            <w:vAlign w:val="center"/>
          </w:tcPr>
          <w:p w14:paraId="65CD4247">
            <w:pPr>
              <w:snapToGrid w:val="0"/>
              <w:jc w:val="left"/>
              <w:rPr>
                <w:rFonts w:hint="eastAsia" w:ascii="仿宋" w:hAnsi="仿宋" w:eastAsia="仿宋" w:cs="仿宋"/>
                <w:sz w:val="24"/>
              </w:rPr>
            </w:pPr>
          </w:p>
        </w:tc>
        <w:tc>
          <w:tcPr>
            <w:tcW w:w="4800" w:type="dxa"/>
            <w:vAlign w:val="center"/>
          </w:tcPr>
          <w:p w14:paraId="0E747E61">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2.专业人才培养模式提炼和打磨不足。</w:t>
            </w:r>
          </w:p>
        </w:tc>
        <w:tc>
          <w:tcPr>
            <w:tcW w:w="4701" w:type="dxa"/>
            <w:vAlign w:val="center"/>
          </w:tcPr>
          <w:p w14:paraId="262107E3">
            <w:pPr>
              <w:jc w:val="left"/>
              <w:rPr>
                <w:rFonts w:hint="eastAsia" w:ascii="仿宋" w:hAnsi="仿宋" w:eastAsia="仿宋" w:cs="仿宋"/>
                <w:sz w:val="24"/>
              </w:rPr>
            </w:pPr>
            <w:r>
              <w:rPr>
                <w:rFonts w:hint="eastAsia" w:ascii="仿宋" w:hAnsi="仿宋" w:eastAsia="仿宋" w:cs="仿宋"/>
                <w:sz w:val="24"/>
              </w:rPr>
              <w:t>查阅近2年省、国家级教学成果奖，学习其他院校人才培养模式提炼</w:t>
            </w:r>
          </w:p>
        </w:tc>
      </w:tr>
      <w:tr w14:paraId="1E826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2B1182C">
            <w:pPr>
              <w:jc w:val="center"/>
              <w:rPr>
                <w:rFonts w:hint="eastAsia" w:ascii="仿宋" w:hAnsi="仿宋" w:eastAsia="仿宋" w:cs="仿宋"/>
                <w:sz w:val="24"/>
              </w:rPr>
            </w:pPr>
          </w:p>
        </w:tc>
        <w:tc>
          <w:tcPr>
            <w:tcW w:w="2769" w:type="dxa"/>
            <w:vMerge w:val="continue"/>
            <w:vAlign w:val="center"/>
          </w:tcPr>
          <w:p w14:paraId="0B974DE1">
            <w:pPr>
              <w:snapToGrid w:val="0"/>
              <w:jc w:val="left"/>
              <w:rPr>
                <w:rFonts w:hint="eastAsia" w:ascii="仿宋" w:hAnsi="仿宋" w:eastAsia="仿宋" w:cs="仿宋"/>
                <w:sz w:val="24"/>
              </w:rPr>
            </w:pPr>
          </w:p>
        </w:tc>
        <w:tc>
          <w:tcPr>
            <w:tcW w:w="4800" w:type="dxa"/>
            <w:vAlign w:val="center"/>
          </w:tcPr>
          <w:p w14:paraId="4675F98B">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3.</w:t>
            </w:r>
            <w:r>
              <w:rPr>
                <w:rFonts w:hint="default" w:ascii="仿宋" w:hAnsi="仿宋" w:eastAsia="仿宋" w:cs="仿宋"/>
                <w:i w:val="0"/>
                <w:iCs w:val="0"/>
                <w:color w:val="000000"/>
                <w:kern w:val="0"/>
                <w:sz w:val="24"/>
                <w:szCs w:val="24"/>
                <w:u w:val="none"/>
                <w:lang w:val="en-US" w:eastAsia="zh-CN" w:bidi="ar"/>
              </w:rPr>
              <w:t>园校协同深度不足，课程共建、标准共研缺失</w:t>
            </w:r>
          </w:p>
        </w:tc>
        <w:tc>
          <w:tcPr>
            <w:tcW w:w="4701" w:type="dxa"/>
            <w:vAlign w:val="center"/>
          </w:tcPr>
          <w:p w14:paraId="5BA6E0B5">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建立“联合教研奖励机制”，与优质园共建课程与评价标准</w:t>
            </w:r>
          </w:p>
        </w:tc>
      </w:tr>
      <w:tr w14:paraId="70412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C975FCE">
            <w:pPr>
              <w:jc w:val="center"/>
              <w:rPr>
                <w:rFonts w:hint="eastAsia" w:ascii="仿宋" w:hAnsi="仿宋" w:eastAsia="仿宋" w:cs="仿宋"/>
                <w:sz w:val="24"/>
              </w:rPr>
            </w:pPr>
          </w:p>
        </w:tc>
        <w:tc>
          <w:tcPr>
            <w:tcW w:w="2769" w:type="dxa"/>
            <w:vMerge w:val="continue"/>
            <w:vAlign w:val="center"/>
          </w:tcPr>
          <w:p w14:paraId="2B8158EA">
            <w:pPr>
              <w:snapToGrid w:val="0"/>
              <w:jc w:val="left"/>
              <w:rPr>
                <w:rFonts w:hint="eastAsia" w:ascii="仿宋" w:hAnsi="仿宋" w:eastAsia="仿宋" w:cs="仿宋"/>
                <w:sz w:val="24"/>
              </w:rPr>
            </w:pPr>
          </w:p>
        </w:tc>
        <w:tc>
          <w:tcPr>
            <w:tcW w:w="4800" w:type="dxa"/>
            <w:vAlign w:val="center"/>
          </w:tcPr>
          <w:p w14:paraId="0BFA9998">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4.</w:t>
            </w:r>
            <w:r>
              <w:rPr>
                <w:rFonts w:hint="default" w:ascii="仿宋" w:hAnsi="仿宋" w:eastAsia="仿宋" w:cs="仿宋"/>
                <w:i w:val="0"/>
                <w:iCs w:val="0"/>
                <w:color w:val="000000"/>
                <w:kern w:val="0"/>
                <w:sz w:val="24"/>
                <w:szCs w:val="24"/>
                <w:u w:val="none"/>
                <w:lang w:val="en-US" w:eastAsia="zh-CN" w:bidi="ar"/>
              </w:rPr>
              <w:t>证书培训与实践融合浅，未系统拆解到“三阶递进”</w:t>
            </w:r>
            <w:r>
              <w:rPr>
                <w:rFonts w:hint="eastAsia" w:ascii="仿宋" w:hAnsi="仿宋" w:eastAsia="仿宋" w:cs="仿宋"/>
                <w:i w:val="0"/>
                <w:iCs w:val="0"/>
                <w:color w:val="000000"/>
                <w:kern w:val="0"/>
                <w:sz w:val="24"/>
                <w:szCs w:val="24"/>
                <w:u w:val="none"/>
                <w:lang w:val="en-US" w:eastAsia="zh-CN" w:bidi="ar"/>
              </w:rPr>
              <w:t>各阶段</w:t>
            </w:r>
          </w:p>
        </w:tc>
        <w:tc>
          <w:tcPr>
            <w:tcW w:w="4701" w:type="dxa"/>
            <w:vAlign w:val="center"/>
          </w:tcPr>
          <w:p w14:paraId="4A1D275A">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将保育师、教资证书核心技能拆解嵌入各阶段课程与实训</w:t>
            </w:r>
          </w:p>
        </w:tc>
      </w:tr>
      <w:tr w14:paraId="054E3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84DDD12">
            <w:pPr>
              <w:jc w:val="center"/>
              <w:rPr>
                <w:rFonts w:hint="eastAsia" w:ascii="仿宋" w:hAnsi="仿宋" w:eastAsia="仿宋" w:cs="仿宋"/>
                <w:sz w:val="24"/>
              </w:rPr>
            </w:pPr>
          </w:p>
        </w:tc>
        <w:tc>
          <w:tcPr>
            <w:tcW w:w="2769" w:type="dxa"/>
            <w:vMerge w:val="restart"/>
            <w:vAlign w:val="center"/>
          </w:tcPr>
          <w:p w14:paraId="7561A8EE">
            <w:pPr>
              <w:snapToGrid w:val="0"/>
              <w:jc w:val="left"/>
              <w:rPr>
                <w:rFonts w:hint="eastAsia" w:ascii="仿宋" w:hAnsi="仿宋" w:eastAsia="仿宋" w:cs="仿宋"/>
                <w:sz w:val="24"/>
              </w:rPr>
            </w:pPr>
            <w:r>
              <w:rPr>
                <w:rFonts w:hint="eastAsia" w:ascii="仿宋" w:hAnsi="仿宋" w:eastAsia="仿宋" w:cs="仿宋"/>
                <w:sz w:val="24"/>
              </w:rPr>
              <w:t>2.3 课程体系</w:t>
            </w:r>
          </w:p>
        </w:tc>
        <w:tc>
          <w:tcPr>
            <w:tcW w:w="4800" w:type="dxa"/>
            <w:vAlign w:val="center"/>
          </w:tcPr>
          <w:p w14:paraId="3E9AAFBE">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1.对专业群课程体系建设的</w:t>
            </w:r>
            <w:bookmarkStart w:id="1" w:name="OLE_LINK1"/>
            <w:r>
              <w:rPr>
                <w:rFonts w:hint="eastAsia" w:ascii="仿宋" w:hAnsi="仿宋" w:eastAsia="仿宋" w:cs="仿宋"/>
                <w:color w:val="000000"/>
                <w:kern w:val="0"/>
                <w:sz w:val="24"/>
                <w:lang w:bidi="ar"/>
              </w:rPr>
              <w:t>“底部共享、中层分立，高层互选，顶部提升拓展”</w:t>
            </w:r>
            <w:bookmarkEnd w:id="1"/>
            <w:r>
              <w:rPr>
                <w:rFonts w:hint="eastAsia" w:ascii="仿宋" w:hAnsi="仿宋" w:eastAsia="仿宋" w:cs="仿宋"/>
                <w:color w:val="000000"/>
                <w:kern w:val="0"/>
                <w:sz w:val="24"/>
                <w:lang w:bidi="ar"/>
              </w:rPr>
              <w:t>要求落实有偏差</w:t>
            </w:r>
          </w:p>
        </w:tc>
        <w:tc>
          <w:tcPr>
            <w:tcW w:w="4701" w:type="dxa"/>
            <w:vAlign w:val="center"/>
          </w:tcPr>
          <w:p w14:paraId="4F54DA79">
            <w:pPr>
              <w:jc w:val="left"/>
              <w:rPr>
                <w:rFonts w:hint="eastAsia" w:ascii="仿宋" w:hAnsi="仿宋" w:eastAsia="仿宋" w:cs="仿宋"/>
                <w:sz w:val="24"/>
              </w:rPr>
            </w:pPr>
            <w:r>
              <w:rPr>
                <w:rFonts w:hint="eastAsia" w:ascii="仿宋" w:hAnsi="仿宋" w:eastAsia="仿宋" w:cs="仿宋"/>
                <w:sz w:val="24"/>
              </w:rPr>
              <w:t>1.明确专业群是什么；2.梳理专业群成立的思路；3.在此基础上，依据</w:t>
            </w:r>
            <w:r>
              <w:rPr>
                <w:rFonts w:hint="eastAsia" w:ascii="仿宋" w:hAnsi="仿宋" w:eastAsia="仿宋" w:cs="仿宋"/>
                <w:color w:val="000000"/>
                <w:kern w:val="0"/>
                <w:sz w:val="24"/>
                <w:lang w:bidi="ar"/>
              </w:rPr>
              <w:t>“底部共享、中层分立，高层互选，顶部提升拓展”的要求构建课程体系</w:t>
            </w:r>
          </w:p>
        </w:tc>
      </w:tr>
      <w:tr w14:paraId="7BB80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D0D4E7B">
            <w:pPr>
              <w:jc w:val="center"/>
              <w:rPr>
                <w:rFonts w:hint="eastAsia" w:ascii="仿宋" w:hAnsi="仿宋" w:eastAsia="仿宋" w:cs="仿宋"/>
                <w:sz w:val="24"/>
              </w:rPr>
            </w:pPr>
          </w:p>
        </w:tc>
        <w:tc>
          <w:tcPr>
            <w:tcW w:w="2769" w:type="dxa"/>
            <w:vMerge w:val="continue"/>
            <w:vAlign w:val="center"/>
          </w:tcPr>
          <w:p w14:paraId="37F67CA8">
            <w:pPr>
              <w:snapToGrid w:val="0"/>
              <w:jc w:val="left"/>
              <w:rPr>
                <w:rFonts w:hint="eastAsia" w:ascii="仿宋" w:hAnsi="仿宋" w:eastAsia="仿宋" w:cs="仿宋"/>
                <w:sz w:val="24"/>
              </w:rPr>
            </w:pPr>
          </w:p>
        </w:tc>
        <w:tc>
          <w:tcPr>
            <w:tcW w:w="4800" w:type="dxa"/>
            <w:vAlign w:val="center"/>
          </w:tcPr>
          <w:p w14:paraId="0AC8C914">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2.</w:t>
            </w:r>
            <w:r>
              <w:rPr>
                <w:rFonts w:hint="default" w:ascii="仿宋" w:hAnsi="仿宋" w:eastAsia="仿宋" w:cs="仿宋"/>
                <w:i w:val="0"/>
                <w:iCs w:val="0"/>
                <w:color w:val="000000"/>
                <w:kern w:val="0"/>
                <w:sz w:val="24"/>
                <w:szCs w:val="24"/>
                <w:u w:val="none"/>
                <w:lang w:val="en-US" w:eastAsia="zh-CN" w:bidi="ar"/>
              </w:rPr>
              <w:t>拓展模块（托育、教育技术）仅完成大纲，缺教材与师资</w:t>
            </w:r>
          </w:p>
        </w:tc>
        <w:tc>
          <w:tcPr>
            <w:tcW w:w="4701" w:type="dxa"/>
            <w:vAlign w:val="center"/>
          </w:tcPr>
          <w:p w14:paraId="362805DC">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组建“校内+行业”专项组，完成教材编写、实训项目设计，教师顶岗后开课</w:t>
            </w:r>
          </w:p>
        </w:tc>
      </w:tr>
      <w:tr w14:paraId="40675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2661D5BF">
            <w:pPr>
              <w:jc w:val="center"/>
              <w:rPr>
                <w:rFonts w:hint="eastAsia" w:ascii="仿宋" w:hAnsi="仿宋" w:eastAsia="仿宋" w:cs="仿宋"/>
                <w:sz w:val="24"/>
              </w:rPr>
            </w:pPr>
          </w:p>
        </w:tc>
        <w:tc>
          <w:tcPr>
            <w:tcW w:w="2769" w:type="dxa"/>
            <w:vMerge w:val="continue"/>
            <w:vAlign w:val="center"/>
          </w:tcPr>
          <w:p w14:paraId="78D0E003">
            <w:pPr>
              <w:snapToGrid w:val="0"/>
              <w:jc w:val="left"/>
              <w:rPr>
                <w:rFonts w:hint="eastAsia" w:ascii="仿宋" w:hAnsi="仿宋" w:eastAsia="仿宋" w:cs="仿宋"/>
                <w:sz w:val="24"/>
              </w:rPr>
            </w:pPr>
          </w:p>
        </w:tc>
        <w:tc>
          <w:tcPr>
            <w:tcW w:w="4800" w:type="dxa"/>
            <w:vAlign w:val="center"/>
          </w:tcPr>
          <w:p w14:paraId="2CEE3389">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3.</w:t>
            </w:r>
            <w:r>
              <w:rPr>
                <w:rFonts w:hint="default" w:ascii="仿宋" w:hAnsi="仿宋" w:eastAsia="仿宋" w:cs="仿宋"/>
                <w:i w:val="0"/>
                <w:iCs w:val="0"/>
                <w:color w:val="000000"/>
                <w:kern w:val="0"/>
                <w:sz w:val="24"/>
                <w:szCs w:val="24"/>
                <w:u w:val="none"/>
                <w:lang w:val="en-US" w:eastAsia="zh-CN" w:bidi="ar"/>
              </w:rPr>
              <w:t>课证融合深度不足，教资考点未系统嵌入日常课程</w:t>
            </w:r>
          </w:p>
        </w:tc>
        <w:tc>
          <w:tcPr>
            <w:tcW w:w="4701" w:type="dxa"/>
            <w:vAlign w:val="center"/>
          </w:tcPr>
          <w:p w14:paraId="73C59CA7">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重构“课证融通”课程地图，教案标注考点，每学期检查融合效果</w:t>
            </w:r>
          </w:p>
        </w:tc>
      </w:tr>
      <w:tr w14:paraId="3E6BB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4714FE04">
            <w:pPr>
              <w:jc w:val="center"/>
              <w:rPr>
                <w:rFonts w:hint="eastAsia" w:ascii="仿宋" w:hAnsi="仿宋" w:eastAsia="仿宋" w:cs="仿宋"/>
                <w:sz w:val="24"/>
              </w:rPr>
            </w:pPr>
            <w:r>
              <w:rPr>
                <w:rFonts w:hint="eastAsia" w:ascii="仿宋" w:hAnsi="仿宋" w:eastAsia="仿宋" w:cs="仿宋"/>
                <w:sz w:val="24"/>
              </w:rPr>
              <w:t>3.课程建设</w:t>
            </w:r>
          </w:p>
        </w:tc>
        <w:tc>
          <w:tcPr>
            <w:tcW w:w="2769" w:type="dxa"/>
            <w:vMerge w:val="restart"/>
            <w:vAlign w:val="center"/>
          </w:tcPr>
          <w:p w14:paraId="0B61B6F9">
            <w:pPr>
              <w:snapToGrid w:val="0"/>
              <w:jc w:val="left"/>
              <w:rPr>
                <w:rFonts w:hint="eastAsia" w:ascii="仿宋" w:hAnsi="仿宋" w:eastAsia="仿宋" w:cs="仿宋"/>
                <w:sz w:val="24"/>
              </w:rPr>
            </w:pPr>
            <w:r>
              <w:rPr>
                <w:rFonts w:hint="eastAsia" w:ascii="仿宋" w:hAnsi="仿宋" w:eastAsia="仿宋" w:cs="仿宋"/>
                <w:sz w:val="24"/>
              </w:rPr>
              <w:t>3.1课程标准</w:t>
            </w:r>
          </w:p>
        </w:tc>
        <w:tc>
          <w:tcPr>
            <w:tcW w:w="4800" w:type="dxa"/>
            <w:vAlign w:val="center"/>
          </w:tcPr>
          <w:p w14:paraId="3EB527ED">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1.建议加强校企合作，与企业导师共同制定课程标准</w:t>
            </w:r>
          </w:p>
        </w:tc>
        <w:tc>
          <w:tcPr>
            <w:tcW w:w="4701" w:type="dxa"/>
            <w:vAlign w:val="center"/>
          </w:tcPr>
          <w:p w14:paraId="46C99526">
            <w:pPr>
              <w:jc w:val="left"/>
              <w:rPr>
                <w:rFonts w:hint="eastAsia" w:ascii="仿宋" w:hAnsi="仿宋" w:eastAsia="仿宋" w:cs="仿宋"/>
                <w:sz w:val="24"/>
              </w:rPr>
            </w:pPr>
            <w:r>
              <w:rPr>
                <w:rFonts w:hint="eastAsia" w:ascii="仿宋" w:hAnsi="仿宋" w:eastAsia="仿宋" w:cs="仿宋"/>
                <w:color w:val="000000"/>
                <w:kern w:val="0"/>
                <w:sz w:val="24"/>
                <w:lang w:bidi="ar"/>
              </w:rPr>
              <w:t>1.建议加强校企合作，与企业导师共同制定课程标准</w:t>
            </w:r>
          </w:p>
        </w:tc>
      </w:tr>
      <w:tr w14:paraId="17AAC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460FAD7D">
            <w:pPr>
              <w:jc w:val="center"/>
              <w:rPr>
                <w:rFonts w:hint="eastAsia" w:ascii="仿宋" w:hAnsi="仿宋" w:eastAsia="仿宋" w:cs="仿宋"/>
                <w:sz w:val="24"/>
              </w:rPr>
            </w:pPr>
          </w:p>
        </w:tc>
        <w:tc>
          <w:tcPr>
            <w:tcW w:w="2769" w:type="dxa"/>
            <w:vMerge w:val="continue"/>
            <w:vAlign w:val="center"/>
          </w:tcPr>
          <w:p w14:paraId="627F7956">
            <w:pPr>
              <w:snapToGrid w:val="0"/>
              <w:jc w:val="left"/>
              <w:rPr>
                <w:rFonts w:hint="eastAsia" w:ascii="仿宋" w:hAnsi="仿宋" w:eastAsia="仿宋" w:cs="仿宋"/>
                <w:sz w:val="24"/>
              </w:rPr>
            </w:pPr>
          </w:p>
        </w:tc>
        <w:tc>
          <w:tcPr>
            <w:tcW w:w="4800" w:type="dxa"/>
            <w:vAlign w:val="center"/>
          </w:tcPr>
          <w:p w14:paraId="4F5ECBC8">
            <w:pPr>
              <w:widowControl/>
              <w:jc w:val="left"/>
              <w:textAlignment w:val="center"/>
              <w:rPr>
                <w:rFonts w:hint="eastAsia" w:ascii="仿宋" w:hAnsi="仿宋" w:eastAsia="仿宋" w:cs="仿宋"/>
                <w:sz w:val="24"/>
              </w:rPr>
            </w:pPr>
            <w:r>
              <w:rPr>
                <w:rFonts w:hint="eastAsia" w:ascii="仿宋" w:hAnsi="仿宋" w:eastAsia="仿宋" w:cs="仿宋"/>
                <w:sz w:val="24"/>
              </w:rPr>
              <w:t>2.课程标准中有些参考书时间太久远，特别是一些涉及到活动案例分析的书籍，不够新</w:t>
            </w:r>
          </w:p>
        </w:tc>
        <w:tc>
          <w:tcPr>
            <w:tcW w:w="4701" w:type="dxa"/>
            <w:vAlign w:val="center"/>
          </w:tcPr>
          <w:p w14:paraId="02BC94F2">
            <w:pPr>
              <w:jc w:val="left"/>
              <w:rPr>
                <w:rFonts w:hint="eastAsia" w:ascii="仿宋" w:hAnsi="仿宋" w:eastAsia="仿宋" w:cs="仿宋"/>
                <w:sz w:val="24"/>
              </w:rPr>
            </w:pPr>
            <w:r>
              <w:rPr>
                <w:rFonts w:hint="eastAsia" w:ascii="仿宋" w:hAnsi="仿宋" w:eastAsia="仿宋" w:cs="仿宋"/>
                <w:sz w:val="24"/>
              </w:rPr>
              <w:t>特别是游戏类的，幼儿园活动类的案例书籍选择最新案例，能体现最新理念</w:t>
            </w:r>
          </w:p>
        </w:tc>
      </w:tr>
      <w:tr w14:paraId="0AD55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9CD25B7">
            <w:pPr>
              <w:jc w:val="center"/>
              <w:rPr>
                <w:rFonts w:hint="eastAsia" w:ascii="仿宋" w:hAnsi="仿宋" w:eastAsia="仿宋" w:cs="仿宋"/>
                <w:sz w:val="24"/>
              </w:rPr>
            </w:pPr>
          </w:p>
        </w:tc>
        <w:tc>
          <w:tcPr>
            <w:tcW w:w="2769" w:type="dxa"/>
            <w:vMerge w:val="continue"/>
            <w:vAlign w:val="center"/>
          </w:tcPr>
          <w:p w14:paraId="0E0A0DC6">
            <w:pPr>
              <w:snapToGrid w:val="0"/>
              <w:jc w:val="left"/>
              <w:rPr>
                <w:rFonts w:hint="eastAsia" w:ascii="仿宋" w:hAnsi="仿宋" w:eastAsia="仿宋" w:cs="仿宋"/>
                <w:sz w:val="24"/>
              </w:rPr>
            </w:pPr>
          </w:p>
        </w:tc>
        <w:tc>
          <w:tcPr>
            <w:tcW w:w="4800" w:type="dxa"/>
            <w:vAlign w:val="center"/>
          </w:tcPr>
          <w:p w14:paraId="68DEDA6C">
            <w:pPr>
              <w:keepNext w:val="0"/>
              <w:keepLines w:val="0"/>
              <w:widowControl/>
              <w:suppressLineNumbers w:val="0"/>
              <w:jc w:val="left"/>
              <w:textAlignment w:val="center"/>
              <w:rPr>
                <w:rFonts w:hint="eastAsia" w:ascii="仿宋" w:hAnsi="仿宋" w:eastAsia="仿宋" w:cs="仿宋"/>
                <w:sz w:val="24"/>
              </w:rPr>
            </w:pPr>
            <w:r>
              <w:rPr>
                <w:rFonts w:hint="eastAsia" w:ascii="仿宋" w:hAnsi="仿宋" w:eastAsia="仿宋" w:cs="仿宋"/>
                <w:i w:val="0"/>
                <w:iCs w:val="0"/>
                <w:color w:val="000000"/>
                <w:kern w:val="0"/>
                <w:sz w:val="24"/>
                <w:szCs w:val="24"/>
                <w:u w:val="none"/>
                <w:lang w:val="en-US" w:eastAsia="zh-CN" w:bidi="ar"/>
              </w:rPr>
              <w:t>3.</w:t>
            </w:r>
            <w:r>
              <w:rPr>
                <w:rFonts w:hint="default" w:ascii="仿宋" w:hAnsi="仿宋" w:eastAsia="仿宋" w:cs="仿宋"/>
                <w:i w:val="0"/>
                <w:iCs w:val="0"/>
                <w:color w:val="000000"/>
                <w:kern w:val="0"/>
                <w:sz w:val="24"/>
                <w:szCs w:val="24"/>
                <w:u w:val="none"/>
                <w:lang w:val="en-US" w:eastAsia="zh-CN" w:bidi="ar"/>
              </w:rPr>
              <w:t>作业设计缺乏价值塑造任务，课程思政融入不足</w:t>
            </w:r>
          </w:p>
        </w:tc>
        <w:tc>
          <w:tcPr>
            <w:tcW w:w="4701" w:type="dxa"/>
            <w:vAlign w:val="center"/>
          </w:tcPr>
          <w:p w14:paraId="2CD0D1DD">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明确课程标准中“作业思政占比”，建立作业审核机制</w:t>
            </w:r>
          </w:p>
        </w:tc>
      </w:tr>
      <w:tr w14:paraId="2B74B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323F0EE6">
            <w:pPr>
              <w:jc w:val="center"/>
              <w:rPr>
                <w:rFonts w:hint="eastAsia" w:ascii="仿宋" w:hAnsi="仿宋" w:eastAsia="仿宋" w:cs="仿宋"/>
                <w:sz w:val="24"/>
              </w:rPr>
            </w:pPr>
          </w:p>
        </w:tc>
        <w:tc>
          <w:tcPr>
            <w:tcW w:w="2769" w:type="dxa"/>
            <w:vMerge w:val="continue"/>
            <w:vAlign w:val="center"/>
          </w:tcPr>
          <w:p w14:paraId="2B42948B">
            <w:pPr>
              <w:snapToGrid w:val="0"/>
              <w:jc w:val="left"/>
              <w:rPr>
                <w:rFonts w:hint="eastAsia" w:ascii="仿宋" w:hAnsi="仿宋" w:eastAsia="仿宋" w:cs="仿宋"/>
                <w:sz w:val="24"/>
              </w:rPr>
            </w:pPr>
          </w:p>
        </w:tc>
        <w:tc>
          <w:tcPr>
            <w:tcW w:w="4800" w:type="dxa"/>
            <w:vAlign w:val="center"/>
          </w:tcPr>
          <w:p w14:paraId="221DA488">
            <w:pPr>
              <w:keepNext w:val="0"/>
              <w:keepLines w:val="0"/>
              <w:widowControl/>
              <w:suppressLineNumbers w:val="0"/>
              <w:jc w:val="left"/>
              <w:textAlignment w:val="center"/>
              <w:rPr>
                <w:rFonts w:hint="eastAsia" w:ascii="仿宋" w:hAnsi="仿宋" w:eastAsia="仿宋" w:cs="仿宋"/>
                <w:sz w:val="24"/>
              </w:rPr>
            </w:pPr>
            <w:r>
              <w:rPr>
                <w:rFonts w:hint="eastAsia" w:ascii="仿宋" w:hAnsi="仿宋" w:eastAsia="仿宋" w:cs="仿宋"/>
                <w:i w:val="0"/>
                <w:iCs w:val="0"/>
                <w:color w:val="000000"/>
                <w:kern w:val="0"/>
                <w:sz w:val="24"/>
                <w:szCs w:val="24"/>
                <w:u w:val="none"/>
                <w:lang w:val="en-US" w:eastAsia="zh-CN" w:bidi="ar"/>
              </w:rPr>
              <w:t>4.</w:t>
            </w:r>
            <w:r>
              <w:rPr>
                <w:rFonts w:hint="default" w:ascii="仿宋" w:hAnsi="仿宋" w:eastAsia="仿宋" w:cs="仿宋"/>
                <w:i w:val="0"/>
                <w:iCs w:val="0"/>
                <w:color w:val="000000"/>
                <w:kern w:val="0"/>
                <w:sz w:val="24"/>
                <w:szCs w:val="24"/>
                <w:u w:val="none"/>
                <w:lang w:val="en-US" w:eastAsia="zh-CN" w:bidi="ar"/>
              </w:rPr>
              <w:t>校企协同开发课程投入不足，园所案例未进课堂</w:t>
            </w:r>
          </w:p>
        </w:tc>
        <w:tc>
          <w:tcPr>
            <w:tcW w:w="4701" w:type="dxa"/>
            <w:vAlign w:val="center"/>
          </w:tcPr>
          <w:p w14:paraId="49D6CD5E">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与3-5家示范园共建“园校课程开发平台”，每学年输出2门协同课程</w:t>
            </w:r>
          </w:p>
        </w:tc>
      </w:tr>
      <w:tr w14:paraId="45F8E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22DA27F">
            <w:pPr>
              <w:jc w:val="center"/>
              <w:rPr>
                <w:rFonts w:hint="eastAsia" w:ascii="仿宋" w:hAnsi="仿宋" w:eastAsia="仿宋" w:cs="仿宋"/>
                <w:sz w:val="24"/>
              </w:rPr>
            </w:pPr>
          </w:p>
        </w:tc>
        <w:tc>
          <w:tcPr>
            <w:tcW w:w="2769" w:type="dxa"/>
            <w:vMerge w:val="restart"/>
            <w:vAlign w:val="center"/>
          </w:tcPr>
          <w:p w14:paraId="6ADFF445">
            <w:pPr>
              <w:snapToGrid w:val="0"/>
              <w:jc w:val="left"/>
              <w:rPr>
                <w:rFonts w:hint="eastAsia" w:ascii="仿宋" w:hAnsi="仿宋" w:eastAsia="仿宋" w:cs="仿宋"/>
                <w:sz w:val="24"/>
              </w:rPr>
            </w:pPr>
            <w:r>
              <w:rPr>
                <w:rFonts w:hint="eastAsia" w:ascii="仿宋" w:hAnsi="仿宋" w:eastAsia="仿宋" w:cs="仿宋"/>
                <w:sz w:val="24"/>
              </w:rPr>
              <w:t>3.2课程实施</w:t>
            </w:r>
          </w:p>
        </w:tc>
        <w:tc>
          <w:tcPr>
            <w:tcW w:w="4800" w:type="dxa"/>
            <w:vAlign w:val="center"/>
          </w:tcPr>
          <w:p w14:paraId="2CAAF4FA">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1</w:t>
            </w:r>
            <w:r>
              <w:rPr>
                <w:rFonts w:hint="eastAsia" w:ascii="仿宋" w:hAnsi="仿宋" w:eastAsia="仿宋" w:cs="仿宋"/>
                <w:color w:val="000000"/>
                <w:kern w:val="0"/>
                <w:sz w:val="24"/>
                <w:lang w:val="en-US" w:eastAsia="zh-CN" w:bidi="ar"/>
              </w:rPr>
              <w:t>.</w:t>
            </w:r>
            <w:r>
              <w:rPr>
                <w:rFonts w:hint="eastAsia" w:ascii="仿宋" w:hAnsi="仿宋" w:eastAsia="仿宋" w:cs="仿宋"/>
                <w:color w:val="000000"/>
                <w:kern w:val="0"/>
                <w:sz w:val="24"/>
                <w:lang w:bidi="ar"/>
              </w:rPr>
              <w:t>需结合现场观摩再做填写</w:t>
            </w:r>
          </w:p>
        </w:tc>
        <w:tc>
          <w:tcPr>
            <w:tcW w:w="4701" w:type="dxa"/>
            <w:vAlign w:val="center"/>
          </w:tcPr>
          <w:p w14:paraId="3584E2AD">
            <w:pPr>
              <w:jc w:val="left"/>
              <w:rPr>
                <w:rFonts w:hint="eastAsia" w:ascii="仿宋" w:hAnsi="仿宋" w:eastAsia="仿宋" w:cs="仿宋"/>
                <w:sz w:val="24"/>
              </w:rPr>
            </w:pPr>
          </w:p>
        </w:tc>
      </w:tr>
      <w:tr w14:paraId="7C6DF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B35D78E">
            <w:pPr>
              <w:jc w:val="center"/>
              <w:rPr>
                <w:rFonts w:hint="eastAsia" w:ascii="仿宋" w:hAnsi="仿宋" w:eastAsia="仿宋" w:cs="仿宋"/>
                <w:sz w:val="24"/>
              </w:rPr>
            </w:pPr>
          </w:p>
        </w:tc>
        <w:tc>
          <w:tcPr>
            <w:tcW w:w="2769" w:type="dxa"/>
            <w:vMerge w:val="continue"/>
            <w:vAlign w:val="center"/>
          </w:tcPr>
          <w:p w14:paraId="72B74244">
            <w:pPr>
              <w:snapToGrid w:val="0"/>
              <w:jc w:val="left"/>
              <w:rPr>
                <w:rFonts w:hint="eastAsia" w:ascii="仿宋" w:hAnsi="仿宋" w:eastAsia="仿宋" w:cs="仿宋"/>
                <w:sz w:val="24"/>
              </w:rPr>
            </w:pPr>
          </w:p>
        </w:tc>
        <w:tc>
          <w:tcPr>
            <w:tcW w:w="4800" w:type="dxa"/>
            <w:vAlign w:val="center"/>
          </w:tcPr>
          <w:p w14:paraId="2025CAA1">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2.</w:t>
            </w:r>
            <w:r>
              <w:rPr>
                <w:rFonts w:hint="default" w:ascii="仿宋" w:hAnsi="仿宋" w:eastAsia="仿宋" w:cs="仿宋"/>
                <w:i w:val="0"/>
                <w:iCs w:val="0"/>
                <w:color w:val="000000"/>
                <w:kern w:val="0"/>
                <w:sz w:val="24"/>
                <w:szCs w:val="24"/>
                <w:u w:val="none"/>
                <w:lang w:val="en-US" w:eastAsia="zh-CN" w:bidi="ar"/>
              </w:rPr>
              <w:t>信息化教学手段应用浅层，混合式教学未支持个性化学习</w:t>
            </w:r>
          </w:p>
        </w:tc>
        <w:tc>
          <w:tcPr>
            <w:tcW w:w="4701" w:type="dxa"/>
            <w:vAlign w:val="center"/>
          </w:tcPr>
          <w:p w14:paraId="179FF4E2">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开展教师信息化教学培训，平台增加“学习进度追踪+资源推送”功能</w:t>
            </w:r>
          </w:p>
        </w:tc>
      </w:tr>
      <w:tr w14:paraId="32C6B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E58B077">
            <w:pPr>
              <w:jc w:val="center"/>
              <w:rPr>
                <w:rFonts w:hint="eastAsia" w:ascii="仿宋" w:hAnsi="仿宋" w:eastAsia="仿宋" w:cs="仿宋"/>
                <w:sz w:val="24"/>
              </w:rPr>
            </w:pPr>
          </w:p>
        </w:tc>
        <w:tc>
          <w:tcPr>
            <w:tcW w:w="2769" w:type="dxa"/>
            <w:vMerge w:val="continue"/>
            <w:vAlign w:val="center"/>
          </w:tcPr>
          <w:p w14:paraId="283A3ECB">
            <w:pPr>
              <w:snapToGrid w:val="0"/>
              <w:jc w:val="left"/>
              <w:rPr>
                <w:rFonts w:hint="eastAsia" w:ascii="仿宋" w:hAnsi="仿宋" w:eastAsia="仿宋" w:cs="仿宋"/>
                <w:sz w:val="24"/>
              </w:rPr>
            </w:pPr>
          </w:p>
        </w:tc>
        <w:tc>
          <w:tcPr>
            <w:tcW w:w="4800" w:type="dxa"/>
            <w:vAlign w:val="center"/>
          </w:tcPr>
          <w:p w14:paraId="329F3FCD">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3.</w:t>
            </w:r>
            <w:r>
              <w:rPr>
                <w:rFonts w:hint="default" w:ascii="仿宋" w:hAnsi="仿宋" w:eastAsia="仿宋" w:cs="仿宋"/>
                <w:i w:val="0"/>
                <w:iCs w:val="0"/>
                <w:color w:val="000000"/>
                <w:kern w:val="0"/>
                <w:sz w:val="24"/>
                <w:szCs w:val="24"/>
                <w:u w:val="none"/>
                <w:lang w:val="en-US" w:eastAsia="zh-CN" w:bidi="ar"/>
              </w:rPr>
              <w:t>远程协作、移动学习试点少，覆盖课程不足20%</w:t>
            </w:r>
          </w:p>
        </w:tc>
        <w:tc>
          <w:tcPr>
            <w:tcW w:w="4701" w:type="dxa"/>
            <w:vAlign w:val="center"/>
          </w:tcPr>
          <w:p w14:paraId="294E3A1F">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每学期遴选2门课程开展远程协作教学试点，形成案例并推广</w:t>
            </w:r>
          </w:p>
        </w:tc>
      </w:tr>
      <w:tr w14:paraId="57C9E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953C8B1">
            <w:pPr>
              <w:jc w:val="center"/>
              <w:rPr>
                <w:rFonts w:hint="eastAsia" w:ascii="仿宋" w:hAnsi="仿宋" w:eastAsia="仿宋" w:cs="仿宋"/>
                <w:sz w:val="24"/>
              </w:rPr>
            </w:pPr>
          </w:p>
        </w:tc>
        <w:tc>
          <w:tcPr>
            <w:tcW w:w="2769" w:type="dxa"/>
            <w:vMerge w:val="restart"/>
            <w:vAlign w:val="center"/>
          </w:tcPr>
          <w:p w14:paraId="5B2F034F">
            <w:pPr>
              <w:snapToGrid w:val="0"/>
              <w:jc w:val="left"/>
              <w:rPr>
                <w:rFonts w:hint="eastAsia" w:ascii="仿宋" w:hAnsi="仿宋" w:eastAsia="仿宋" w:cs="仿宋"/>
                <w:sz w:val="24"/>
              </w:rPr>
            </w:pPr>
            <w:r>
              <w:rPr>
                <w:rFonts w:hint="eastAsia" w:ascii="仿宋" w:hAnsi="仿宋" w:eastAsia="仿宋" w:cs="仿宋"/>
                <w:sz w:val="24"/>
              </w:rPr>
              <w:t>3.3课程资源</w:t>
            </w:r>
          </w:p>
        </w:tc>
        <w:tc>
          <w:tcPr>
            <w:tcW w:w="4800" w:type="dxa"/>
            <w:vAlign w:val="center"/>
          </w:tcPr>
          <w:p w14:paraId="359EDC85">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1.缺少教材选用及审核办法的方案</w:t>
            </w:r>
          </w:p>
        </w:tc>
        <w:tc>
          <w:tcPr>
            <w:tcW w:w="4701" w:type="dxa"/>
            <w:vAlign w:val="center"/>
          </w:tcPr>
          <w:p w14:paraId="2A7EA698">
            <w:pPr>
              <w:jc w:val="left"/>
              <w:rPr>
                <w:rFonts w:hint="eastAsia" w:ascii="仿宋" w:hAnsi="仿宋" w:eastAsia="仿宋" w:cs="仿宋"/>
                <w:sz w:val="24"/>
              </w:rPr>
            </w:pPr>
            <w:r>
              <w:rPr>
                <w:rFonts w:hint="eastAsia" w:ascii="仿宋" w:hAnsi="仿宋" w:eastAsia="仿宋" w:cs="仿宋"/>
                <w:sz w:val="24"/>
              </w:rPr>
              <w:t>明确说明教材选用的过程及审核的方案</w:t>
            </w:r>
          </w:p>
        </w:tc>
      </w:tr>
      <w:tr w14:paraId="25F5A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7860AA11">
            <w:pPr>
              <w:jc w:val="center"/>
              <w:rPr>
                <w:rFonts w:hint="eastAsia" w:ascii="仿宋" w:hAnsi="仿宋" w:eastAsia="仿宋" w:cs="仿宋"/>
                <w:sz w:val="24"/>
              </w:rPr>
            </w:pPr>
          </w:p>
        </w:tc>
        <w:tc>
          <w:tcPr>
            <w:tcW w:w="2769" w:type="dxa"/>
            <w:vMerge w:val="continue"/>
            <w:vAlign w:val="center"/>
          </w:tcPr>
          <w:p w14:paraId="2F694BAF">
            <w:pPr>
              <w:snapToGrid w:val="0"/>
              <w:jc w:val="left"/>
              <w:rPr>
                <w:rFonts w:hint="eastAsia" w:ascii="仿宋" w:hAnsi="仿宋" w:eastAsia="仿宋" w:cs="仿宋"/>
                <w:sz w:val="24"/>
              </w:rPr>
            </w:pPr>
          </w:p>
        </w:tc>
        <w:tc>
          <w:tcPr>
            <w:tcW w:w="4800" w:type="dxa"/>
            <w:vAlign w:val="center"/>
          </w:tcPr>
          <w:p w14:paraId="758935A3">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2.缺少资源平台</w:t>
            </w:r>
          </w:p>
        </w:tc>
        <w:tc>
          <w:tcPr>
            <w:tcW w:w="4701" w:type="dxa"/>
            <w:vAlign w:val="center"/>
          </w:tcPr>
          <w:p w14:paraId="2BDBAFD8">
            <w:pPr>
              <w:jc w:val="left"/>
              <w:rPr>
                <w:rFonts w:hint="eastAsia" w:ascii="仿宋" w:hAnsi="仿宋" w:eastAsia="仿宋" w:cs="仿宋"/>
                <w:sz w:val="24"/>
              </w:rPr>
            </w:pPr>
            <w:r>
              <w:rPr>
                <w:rFonts w:hint="eastAsia" w:ascii="仿宋" w:hAnsi="仿宋" w:eastAsia="仿宋" w:cs="仿宋"/>
                <w:sz w:val="24"/>
              </w:rPr>
              <w:t>1.鼓励教师平时积累，用学习平台建课程；2.请专家指导，帮助老师明确建课思路；3.在课程积累的基础上形成课程资源平台。</w:t>
            </w:r>
          </w:p>
        </w:tc>
      </w:tr>
      <w:tr w14:paraId="6C38945A">
        <w:tblPrEx>
          <w:tblCellMar>
            <w:top w:w="0" w:type="dxa"/>
            <w:left w:w="108" w:type="dxa"/>
            <w:bottom w:w="0" w:type="dxa"/>
            <w:right w:w="108" w:type="dxa"/>
          </w:tblCellMar>
        </w:tblPrEx>
        <w:trPr>
          <w:trHeight w:val="454" w:hRule="atLeast"/>
          <w:jc w:val="center"/>
        </w:trPr>
        <w:tc>
          <w:tcPr>
            <w:tcW w:w="1950" w:type="dxa"/>
            <w:vMerge w:val="continue"/>
            <w:vAlign w:val="center"/>
          </w:tcPr>
          <w:p w14:paraId="06D8B141">
            <w:pPr>
              <w:jc w:val="center"/>
              <w:rPr>
                <w:rFonts w:hint="eastAsia" w:ascii="仿宋" w:hAnsi="仿宋" w:eastAsia="仿宋" w:cs="仿宋"/>
                <w:sz w:val="24"/>
              </w:rPr>
            </w:pPr>
          </w:p>
        </w:tc>
        <w:tc>
          <w:tcPr>
            <w:tcW w:w="2769" w:type="dxa"/>
            <w:vMerge w:val="continue"/>
            <w:vAlign w:val="center"/>
          </w:tcPr>
          <w:p w14:paraId="70035867">
            <w:pPr>
              <w:snapToGrid w:val="0"/>
              <w:jc w:val="left"/>
              <w:rPr>
                <w:rFonts w:hint="eastAsia" w:ascii="仿宋" w:hAnsi="仿宋" w:eastAsia="仿宋" w:cs="仿宋"/>
                <w:sz w:val="24"/>
              </w:rPr>
            </w:pPr>
          </w:p>
        </w:tc>
        <w:tc>
          <w:tcPr>
            <w:tcW w:w="4800" w:type="dxa"/>
            <w:vAlign w:val="center"/>
          </w:tcPr>
          <w:p w14:paraId="1A9054D4">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3.</w:t>
            </w:r>
            <w:r>
              <w:rPr>
                <w:rFonts w:hint="default" w:ascii="仿宋" w:hAnsi="仿宋" w:eastAsia="仿宋" w:cs="仿宋"/>
                <w:i w:val="0"/>
                <w:iCs w:val="0"/>
                <w:color w:val="000000"/>
                <w:kern w:val="0"/>
                <w:sz w:val="24"/>
                <w:szCs w:val="24"/>
                <w:u w:val="none"/>
                <w:lang w:val="en-US" w:eastAsia="zh-CN" w:bidi="ar"/>
              </w:rPr>
              <w:t>校本教材体系缺失，已开发教材仅2本且未覆盖</w:t>
            </w:r>
            <w:r>
              <w:rPr>
                <w:rFonts w:hint="eastAsia" w:ascii="仿宋" w:hAnsi="仿宋" w:eastAsia="仿宋" w:cs="仿宋"/>
                <w:i w:val="0"/>
                <w:iCs w:val="0"/>
                <w:color w:val="000000"/>
                <w:kern w:val="0"/>
                <w:sz w:val="24"/>
                <w:szCs w:val="24"/>
                <w:u w:val="none"/>
                <w:lang w:val="en-US" w:eastAsia="zh-CN" w:bidi="ar"/>
              </w:rPr>
              <w:t>保教</w:t>
            </w:r>
            <w:r>
              <w:rPr>
                <w:rFonts w:hint="default" w:ascii="仿宋" w:hAnsi="仿宋" w:eastAsia="仿宋" w:cs="仿宋"/>
                <w:i w:val="0"/>
                <w:iCs w:val="0"/>
                <w:color w:val="000000"/>
                <w:kern w:val="0"/>
                <w:sz w:val="24"/>
                <w:szCs w:val="24"/>
                <w:u w:val="none"/>
                <w:lang w:val="en-US" w:eastAsia="zh-CN" w:bidi="ar"/>
              </w:rPr>
              <w:t>核心技能</w:t>
            </w:r>
          </w:p>
        </w:tc>
        <w:tc>
          <w:tcPr>
            <w:tcW w:w="4701" w:type="dxa"/>
            <w:vAlign w:val="center"/>
          </w:tcPr>
          <w:p w14:paraId="48B0E745">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制定三年校本教材规划，优先开发“幼儿行为观察”等核心技能教材</w:t>
            </w:r>
          </w:p>
        </w:tc>
      </w:tr>
      <w:tr w14:paraId="5D1B2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7FB73EB">
            <w:pPr>
              <w:jc w:val="center"/>
              <w:rPr>
                <w:rFonts w:hint="eastAsia" w:ascii="仿宋" w:hAnsi="仿宋" w:eastAsia="仿宋" w:cs="仿宋"/>
                <w:sz w:val="24"/>
              </w:rPr>
            </w:pPr>
          </w:p>
        </w:tc>
        <w:tc>
          <w:tcPr>
            <w:tcW w:w="2769" w:type="dxa"/>
            <w:vMerge w:val="continue"/>
            <w:vAlign w:val="center"/>
          </w:tcPr>
          <w:p w14:paraId="476EFD72">
            <w:pPr>
              <w:snapToGrid w:val="0"/>
              <w:jc w:val="left"/>
              <w:rPr>
                <w:rFonts w:hint="eastAsia" w:ascii="仿宋" w:hAnsi="仿宋" w:eastAsia="仿宋" w:cs="仿宋"/>
                <w:sz w:val="24"/>
              </w:rPr>
            </w:pPr>
          </w:p>
        </w:tc>
        <w:tc>
          <w:tcPr>
            <w:tcW w:w="4800" w:type="dxa"/>
            <w:vAlign w:val="center"/>
          </w:tcPr>
          <w:p w14:paraId="4B9A2D1E">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4.</w:t>
            </w:r>
            <w:r>
              <w:rPr>
                <w:rFonts w:hint="default" w:ascii="仿宋" w:hAnsi="仿宋" w:eastAsia="仿宋" w:cs="仿宋"/>
                <w:i w:val="0"/>
                <w:iCs w:val="0"/>
                <w:color w:val="000000"/>
                <w:kern w:val="0"/>
                <w:sz w:val="24"/>
                <w:szCs w:val="24"/>
                <w:u w:val="none"/>
                <w:lang w:val="en-US" w:eastAsia="zh-CN" w:bidi="ar"/>
              </w:rPr>
              <w:t>在线课程资源质量低，缺乏虚拟仿真、互动式融媒体内容</w:t>
            </w:r>
          </w:p>
        </w:tc>
        <w:tc>
          <w:tcPr>
            <w:tcW w:w="4701" w:type="dxa"/>
            <w:vAlign w:val="center"/>
          </w:tcPr>
          <w:p w14:paraId="6AFB5D09">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引进虚拟仿真软件，建设1门融媒体特色课程，申报省级精品在线课</w:t>
            </w:r>
          </w:p>
        </w:tc>
      </w:tr>
      <w:tr w14:paraId="11C67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1E9BD72F">
            <w:pPr>
              <w:jc w:val="center"/>
              <w:rPr>
                <w:rFonts w:hint="eastAsia" w:ascii="仿宋" w:hAnsi="仿宋" w:eastAsia="仿宋" w:cs="仿宋"/>
                <w:sz w:val="24"/>
              </w:rPr>
            </w:pPr>
            <w:r>
              <w:rPr>
                <w:rFonts w:hint="eastAsia" w:ascii="仿宋" w:hAnsi="仿宋" w:eastAsia="仿宋" w:cs="仿宋"/>
                <w:sz w:val="24"/>
              </w:rPr>
              <w:t>4.实践教学</w:t>
            </w:r>
          </w:p>
        </w:tc>
        <w:tc>
          <w:tcPr>
            <w:tcW w:w="2769" w:type="dxa"/>
            <w:vMerge w:val="restart"/>
            <w:vAlign w:val="center"/>
          </w:tcPr>
          <w:p w14:paraId="5B9AE576">
            <w:pPr>
              <w:snapToGrid w:val="0"/>
              <w:jc w:val="left"/>
              <w:rPr>
                <w:rFonts w:hint="eastAsia" w:ascii="仿宋" w:hAnsi="仿宋" w:eastAsia="仿宋" w:cs="仿宋"/>
                <w:sz w:val="24"/>
              </w:rPr>
            </w:pPr>
            <w:r>
              <w:rPr>
                <w:rFonts w:hint="eastAsia" w:ascii="仿宋" w:hAnsi="仿宋" w:eastAsia="仿宋" w:cs="仿宋"/>
                <w:sz w:val="24"/>
              </w:rPr>
              <w:t>4.1校内实践教学条件</w:t>
            </w:r>
          </w:p>
        </w:tc>
        <w:tc>
          <w:tcPr>
            <w:tcW w:w="4800" w:type="dxa"/>
            <w:vAlign w:val="center"/>
          </w:tcPr>
          <w:p w14:paraId="6061D354">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1.人工智能相关的虚拟仿真实训室缺少</w:t>
            </w:r>
            <w:r>
              <w:rPr>
                <w:rFonts w:hint="eastAsia" w:ascii="仿宋" w:hAnsi="仿宋" w:eastAsia="仿宋" w:cs="仿宋"/>
                <w:sz w:val="24"/>
              </w:rPr>
              <w:t xml:space="preserve"> </w:t>
            </w:r>
          </w:p>
        </w:tc>
        <w:tc>
          <w:tcPr>
            <w:tcW w:w="4701" w:type="dxa"/>
            <w:vAlign w:val="center"/>
          </w:tcPr>
          <w:p w14:paraId="23F53A33">
            <w:pPr>
              <w:jc w:val="left"/>
              <w:rPr>
                <w:rFonts w:hint="eastAsia" w:ascii="仿宋" w:hAnsi="仿宋" w:eastAsia="仿宋" w:cs="仿宋"/>
                <w:sz w:val="24"/>
              </w:rPr>
            </w:pPr>
            <w:r>
              <w:rPr>
                <w:rFonts w:hint="eastAsia" w:ascii="仿宋" w:hAnsi="仿宋" w:eastAsia="仿宋" w:cs="仿宋"/>
                <w:sz w:val="24"/>
              </w:rPr>
              <w:t>在条件允许的情况下建议增加虚拟仿真资源</w:t>
            </w:r>
          </w:p>
        </w:tc>
      </w:tr>
      <w:tr w14:paraId="08B44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054D697C">
            <w:pPr>
              <w:jc w:val="center"/>
              <w:rPr>
                <w:rFonts w:hint="eastAsia" w:ascii="仿宋" w:hAnsi="仿宋" w:eastAsia="仿宋" w:cs="仿宋"/>
                <w:sz w:val="24"/>
              </w:rPr>
            </w:pPr>
          </w:p>
        </w:tc>
        <w:tc>
          <w:tcPr>
            <w:tcW w:w="2769" w:type="dxa"/>
            <w:vMerge w:val="continue"/>
            <w:vAlign w:val="center"/>
          </w:tcPr>
          <w:p w14:paraId="05D476AB">
            <w:pPr>
              <w:snapToGrid w:val="0"/>
              <w:jc w:val="left"/>
              <w:rPr>
                <w:rFonts w:hint="eastAsia" w:ascii="仿宋" w:hAnsi="仿宋" w:eastAsia="仿宋" w:cs="仿宋"/>
                <w:sz w:val="24"/>
              </w:rPr>
            </w:pPr>
          </w:p>
        </w:tc>
        <w:tc>
          <w:tcPr>
            <w:tcW w:w="4800" w:type="dxa"/>
            <w:vAlign w:val="center"/>
          </w:tcPr>
          <w:p w14:paraId="42D92F93">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2.结合现场观摩后再补充</w:t>
            </w:r>
          </w:p>
        </w:tc>
        <w:tc>
          <w:tcPr>
            <w:tcW w:w="4701" w:type="dxa"/>
            <w:vAlign w:val="center"/>
          </w:tcPr>
          <w:p w14:paraId="2102EFBF">
            <w:pPr>
              <w:jc w:val="left"/>
              <w:rPr>
                <w:rFonts w:hint="eastAsia" w:ascii="仿宋" w:hAnsi="仿宋" w:eastAsia="仿宋" w:cs="仿宋"/>
                <w:sz w:val="24"/>
              </w:rPr>
            </w:pPr>
          </w:p>
        </w:tc>
      </w:tr>
      <w:tr w14:paraId="2CB6B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3119A243">
            <w:pPr>
              <w:jc w:val="center"/>
              <w:rPr>
                <w:rFonts w:hint="eastAsia" w:ascii="仿宋" w:hAnsi="仿宋" w:eastAsia="仿宋" w:cs="仿宋"/>
                <w:sz w:val="24"/>
              </w:rPr>
            </w:pPr>
          </w:p>
        </w:tc>
        <w:tc>
          <w:tcPr>
            <w:tcW w:w="2769" w:type="dxa"/>
            <w:vMerge w:val="continue"/>
            <w:vAlign w:val="center"/>
          </w:tcPr>
          <w:p w14:paraId="06D6C251">
            <w:pPr>
              <w:snapToGrid w:val="0"/>
              <w:jc w:val="left"/>
              <w:rPr>
                <w:rFonts w:hint="eastAsia" w:ascii="仿宋" w:hAnsi="仿宋" w:eastAsia="仿宋" w:cs="仿宋"/>
                <w:sz w:val="24"/>
              </w:rPr>
            </w:pPr>
          </w:p>
        </w:tc>
        <w:tc>
          <w:tcPr>
            <w:tcW w:w="4800" w:type="dxa"/>
            <w:vAlign w:val="center"/>
          </w:tcPr>
          <w:p w14:paraId="2C5BAF20">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3.</w:t>
            </w:r>
            <w:r>
              <w:rPr>
                <w:rFonts w:hint="default" w:ascii="仿宋" w:hAnsi="仿宋" w:eastAsia="仿宋" w:cs="仿宋"/>
                <w:i w:val="0"/>
                <w:iCs w:val="0"/>
                <w:color w:val="000000"/>
                <w:kern w:val="0"/>
                <w:sz w:val="24"/>
                <w:szCs w:val="24"/>
                <w:u w:val="none"/>
                <w:lang w:val="en-US" w:eastAsia="zh-CN" w:bidi="ar"/>
              </w:rPr>
              <w:t>缺乏STEAM、融合教育等新兴实训区域，无法满足新岗位需求</w:t>
            </w:r>
          </w:p>
        </w:tc>
        <w:tc>
          <w:tcPr>
            <w:tcW w:w="4701" w:type="dxa"/>
            <w:vAlign w:val="center"/>
          </w:tcPr>
          <w:p w14:paraId="52237937">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利用现有实训室划分STEAM专区，申请专项经费建设融合教育角</w:t>
            </w:r>
          </w:p>
        </w:tc>
      </w:tr>
      <w:tr w14:paraId="7F617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4CA5FCDA">
            <w:pPr>
              <w:jc w:val="center"/>
              <w:rPr>
                <w:rFonts w:hint="eastAsia" w:ascii="仿宋" w:hAnsi="仿宋" w:eastAsia="仿宋" w:cs="仿宋"/>
                <w:sz w:val="24"/>
              </w:rPr>
            </w:pPr>
          </w:p>
        </w:tc>
        <w:tc>
          <w:tcPr>
            <w:tcW w:w="2769" w:type="dxa"/>
            <w:vMerge w:val="continue"/>
            <w:vAlign w:val="center"/>
          </w:tcPr>
          <w:p w14:paraId="0095E31E">
            <w:pPr>
              <w:snapToGrid w:val="0"/>
              <w:jc w:val="left"/>
              <w:rPr>
                <w:rFonts w:hint="eastAsia" w:ascii="仿宋" w:hAnsi="仿宋" w:eastAsia="仿宋" w:cs="仿宋"/>
                <w:sz w:val="24"/>
              </w:rPr>
            </w:pPr>
          </w:p>
        </w:tc>
        <w:tc>
          <w:tcPr>
            <w:tcW w:w="4800" w:type="dxa"/>
            <w:vAlign w:val="center"/>
          </w:tcPr>
          <w:p w14:paraId="69AB7265">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4.</w:t>
            </w:r>
            <w:r>
              <w:rPr>
                <w:rFonts w:hint="default" w:ascii="仿宋" w:hAnsi="仿宋" w:eastAsia="仿宋" w:cs="仿宋"/>
                <w:i w:val="0"/>
                <w:iCs w:val="0"/>
                <w:color w:val="000000"/>
                <w:kern w:val="0"/>
                <w:sz w:val="24"/>
                <w:szCs w:val="24"/>
                <w:u w:val="none"/>
                <w:lang w:val="en-US" w:eastAsia="zh-CN" w:bidi="ar"/>
              </w:rPr>
              <w:t>数字化实训资源为零，未引进虚拟仿真软件或数据分析系统</w:t>
            </w:r>
          </w:p>
        </w:tc>
        <w:tc>
          <w:tcPr>
            <w:tcW w:w="4701" w:type="dxa"/>
            <w:vAlign w:val="center"/>
          </w:tcPr>
          <w:p w14:paraId="5DC163F3">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引进1套幼儿园活动设计虚拟仿真软件，开发幼儿行为观察数字化系统</w:t>
            </w:r>
          </w:p>
        </w:tc>
      </w:tr>
      <w:tr w14:paraId="7F393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27A334F0">
            <w:pPr>
              <w:jc w:val="center"/>
              <w:rPr>
                <w:rFonts w:hint="eastAsia" w:ascii="仿宋" w:hAnsi="仿宋" w:eastAsia="仿宋" w:cs="仿宋"/>
                <w:sz w:val="24"/>
              </w:rPr>
            </w:pPr>
          </w:p>
        </w:tc>
        <w:tc>
          <w:tcPr>
            <w:tcW w:w="2769" w:type="dxa"/>
            <w:vMerge w:val="restart"/>
            <w:vAlign w:val="center"/>
          </w:tcPr>
          <w:p w14:paraId="64C2D38B">
            <w:pPr>
              <w:snapToGrid w:val="0"/>
              <w:jc w:val="left"/>
              <w:rPr>
                <w:rFonts w:hint="eastAsia" w:ascii="仿宋" w:hAnsi="仿宋" w:eastAsia="仿宋" w:cs="仿宋"/>
                <w:sz w:val="24"/>
              </w:rPr>
            </w:pPr>
            <w:r>
              <w:rPr>
                <w:rFonts w:hint="eastAsia" w:ascii="仿宋" w:hAnsi="仿宋" w:eastAsia="仿宋" w:cs="仿宋"/>
                <w:sz w:val="24"/>
              </w:rPr>
              <w:t>4.2 校外实践教学条件</w:t>
            </w:r>
          </w:p>
        </w:tc>
        <w:tc>
          <w:tcPr>
            <w:tcW w:w="4800" w:type="dxa"/>
            <w:vAlign w:val="center"/>
          </w:tcPr>
          <w:p w14:paraId="213A7A80">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val="en-US" w:eastAsia="zh-CN" w:bidi="ar"/>
              </w:rPr>
              <w:t>1.</w:t>
            </w:r>
            <w:r>
              <w:rPr>
                <w:rFonts w:hint="eastAsia" w:ascii="仿宋" w:hAnsi="仿宋" w:eastAsia="仿宋" w:cs="仿宋"/>
                <w:color w:val="000000"/>
                <w:kern w:val="0"/>
                <w:sz w:val="24"/>
                <w:lang w:bidi="ar"/>
              </w:rPr>
              <w:t>只有文档清单，没有具体内容</w:t>
            </w:r>
          </w:p>
        </w:tc>
        <w:tc>
          <w:tcPr>
            <w:tcW w:w="4701" w:type="dxa"/>
            <w:vAlign w:val="center"/>
          </w:tcPr>
          <w:p w14:paraId="5B7A55C4">
            <w:pPr>
              <w:jc w:val="left"/>
              <w:rPr>
                <w:rFonts w:hint="eastAsia" w:ascii="仿宋" w:hAnsi="仿宋" w:eastAsia="仿宋" w:cs="仿宋"/>
                <w:sz w:val="24"/>
              </w:rPr>
            </w:pPr>
          </w:p>
        </w:tc>
      </w:tr>
      <w:tr w14:paraId="4E447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C90AB92">
            <w:pPr>
              <w:jc w:val="center"/>
              <w:rPr>
                <w:rFonts w:hint="eastAsia" w:ascii="仿宋" w:hAnsi="仿宋" w:eastAsia="仿宋" w:cs="仿宋"/>
                <w:sz w:val="24"/>
              </w:rPr>
            </w:pPr>
          </w:p>
        </w:tc>
        <w:tc>
          <w:tcPr>
            <w:tcW w:w="2769" w:type="dxa"/>
            <w:vMerge w:val="continue"/>
            <w:vAlign w:val="center"/>
          </w:tcPr>
          <w:p w14:paraId="1C8D62C0">
            <w:pPr>
              <w:snapToGrid w:val="0"/>
              <w:jc w:val="left"/>
              <w:rPr>
                <w:rFonts w:hint="eastAsia" w:ascii="仿宋" w:hAnsi="仿宋" w:eastAsia="仿宋" w:cs="仿宋"/>
                <w:sz w:val="24"/>
              </w:rPr>
            </w:pPr>
          </w:p>
        </w:tc>
        <w:tc>
          <w:tcPr>
            <w:tcW w:w="4800" w:type="dxa"/>
            <w:vAlign w:val="center"/>
          </w:tcPr>
          <w:p w14:paraId="3D472CD4">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2.</w:t>
            </w:r>
            <w:r>
              <w:rPr>
                <w:rFonts w:hint="default" w:ascii="仿宋" w:hAnsi="仿宋" w:eastAsia="仿宋" w:cs="仿宋"/>
                <w:i w:val="0"/>
                <w:iCs w:val="0"/>
                <w:color w:val="000000"/>
                <w:kern w:val="0"/>
                <w:sz w:val="24"/>
                <w:szCs w:val="24"/>
                <w:u w:val="none"/>
                <w:lang w:val="en-US" w:eastAsia="zh-CN" w:bidi="ar"/>
              </w:rPr>
              <w:t>合作园所质量参差，部分园所未让学生参与核心保教环节</w:t>
            </w:r>
          </w:p>
        </w:tc>
        <w:tc>
          <w:tcPr>
            <w:tcW w:w="4701" w:type="dxa"/>
            <w:vAlign w:val="center"/>
          </w:tcPr>
          <w:p w14:paraId="3F669DE0">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建立园所分级筛选与淘汰机制，只保留省市级示范园及优质民办园</w:t>
            </w:r>
          </w:p>
        </w:tc>
      </w:tr>
      <w:tr w14:paraId="6229F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79CB23A">
            <w:pPr>
              <w:jc w:val="center"/>
              <w:rPr>
                <w:rFonts w:hint="eastAsia" w:ascii="仿宋" w:hAnsi="仿宋" w:eastAsia="仿宋" w:cs="仿宋"/>
                <w:sz w:val="24"/>
              </w:rPr>
            </w:pPr>
          </w:p>
        </w:tc>
        <w:tc>
          <w:tcPr>
            <w:tcW w:w="2769" w:type="dxa"/>
            <w:vMerge w:val="continue"/>
            <w:vAlign w:val="center"/>
          </w:tcPr>
          <w:p w14:paraId="0E57562F">
            <w:pPr>
              <w:snapToGrid w:val="0"/>
              <w:jc w:val="left"/>
              <w:rPr>
                <w:rFonts w:hint="eastAsia" w:ascii="仿宋" w:hAnsi="仿宋" w:eastAsia="仿宋" w:cs="仿宋"/>
                <w:sz w:val="24"/>
              </w:rPr>
            </w:pPr>
          </w:p>
        </w:tc>
        <w:tc>
          <w:tcPr>
            <w:tcW w:w="4800" w:type="dxa"/>
            <w:vAlign w:val="center"/>
          </w:tcPr>
          <w:p w14:paraId="3520D867">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3.</w:t>
            </w:r>
            <w:r>
              <w:rPr>
                <w:rFonts w:hint="default" w:ascii="仿宋" w:hAnsi="仿宋" w:eastAsia="仿宋" w:cs="仿宋"/>
                <w:i w:val="0"/>
                <w:iCs w:val="0"/>
                <w:color w:val="000000"/>
                <w:kern w:val="0"/>
                <w:sz w:val="24"/>
                <w:szCs w:val="24"/>
                <w:u w:val="none"/>
                <w:lang w:val="en-US" w:eastAsia="zh-CN" w:bidi="ar"/>
              </w:rPr>
              <w:t>顶岗实习园所指导教师能力参差，缺乏统一培训与认证</w:t>
            </w:r>
          </w:p>
        </w:tc>
        <w:tc>
          <w:tcPr>
            <w:tcW w:w="4701" w:type="dxa"/>
            <w:vAlign w:val="center"/>
          </w:tcPr>
          <w:p w14:paraId="58903A2D">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与合作园所共建“双导师”认证标准，每年组织园所导师培训与考核</w:t>
            </w:r>
          </w:p>
        </w:tc>
      </w:tr>
      <w:tr w14:paraId="496DF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411F71ED">
            <w:pPr>
              <w:jc w:val="center"/>
              <w:rPr>
                <w:rFonts w:hint="eastAsia" w:ascii="仿宋" w:hAnsi="仿宋" w:eastAsia="仿宋" w:cs="仿宋"/>
                <w:sz w:val="24"/>
              </w:rPr>
            </w:pPr>
          </w:p>
        </w:tc>
        <w:tc>
          <w:tcPr>
            <w:tcW w:w="2769" w:type="dxa"/>
            <w:vMerge w:val="restart"/>
            <w:vAlign w:val="center"/>
          </w:tcPr>
          <w:p w14:paraId="422B75CA">
            <w:pPr>
              <w:snapToGrid w:val="0"/>
              <w:jc w:val="left"/>
              <w:rPr>
                <w:rFonts w:hint="eastAsia" w:ascii="仿宋" w:hAnsi="仿宋" w:eastAsia="仿宋" w:cs="仿宋"/>
                <w:sz w:val="24"/>
              </w:rPr>
            </w:pPr>
            <w:r>
              <w:rPr>
                <w:rFonts w:hint="eastAsia" w:ascii="仿宋" w:hAnsi="仿宋" w:eastAsia="仿宋" w:cs="仿宋"/>
                <w:sz w:val="24"/>
              </w:rPr>
              <w:t>4.3实践教学内容与管理</w:t>
            </w:r>
          </w:p>
        </w:tc>
        <w:tc>
          <w:tcPr>
            <w:tcW w:w="4800" w:type="dxa"/>
            <w:vAlign w:val="center"/>
          </w:tcPr>
          <w:p w14:paraId="1852ABEA">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1.只有文档清单，没有具体内容</w:t>
            </w:r>
          </w:p>
        </w:tc>
        <w:tc>
          <w:tcPr>
            <w:tcW w:w="4701" w:type="dxa"/>
            <w:vAlign w:val="center"/>
          </w:tcPr>
          <w:p w14:paraId="3699E834">
            <w:pPr>
              <w:jc w:val="left"/>
              <w:rPr>
                <w:rFonts w:hint="eastAsia" w:ascii="仿宋" w:hAnsi="仿宋" w:eastAsia="仿宋" w:cs="仿宋"/>
                <w:sz w:val="24"/>
              </w:rPr>
            </w:pPr>
          </w:p>
        </w:tc>
      </w:tr>
      <w:tr w14:paraId="788C9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70EE9790">
            <w:pPr>
              <w:jc w:val="center"/>
              <w:rPr>
                <w:rFonts w:hint="eastAsia" w:ascii="仿宋" w:hAnsi="仿宋" w:eastAsia="仿宋" w:cs="仿宋"/>
                <w:sz w:val="24"/>
              </w:rPr>
            </w:pPr>
          </w:p>
        </w:tc>
        <w:tc>
          <w:tcPr>
            <w:tcW w:w="2769" w:type="dxa"/>
            <w:vMerge w:val="continue"/>
            <w:vAlign w:val="center"/>
          </w:tcPr>
          <w:p w14:paraId="39029E29">
            <w:pPr>
              <w:snapToGrid w:val="0"/>
              <w:jc w:val="left"/>
              <w:rPr>
                <w:rFonts w:hint="eastAsia" w:ascii="仿宋" w:hAnsi="仿宋" w:eastAsia="仿宋" w:cs="仿宋"/>
                <w:sz w:val="24"/>
              </w:rPr>
            </w:pPr>
          </w:p>
        </w:tc>
        <w:tc>
          <w:tcPr>
            <w:tcW w:w="4800" w:type="dxa"/>
            <w:vAlign w:val="center"/>
          </w:tcPr>
          <w:p w14:paraId="3D7E4BD6">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2.</w:t>
            </w:r>
            <w:r>
              <w:rPr>
                <w:rFonts w:hint="default" w:ascii="仿宋" w:hAnsi="仿宋" w:eastAsia="仿宋" w:cs="仿宋"/>
                <w:i w:val="0"/>
                <w:iCs w:val="0"/>
                <w:color w:val="000000"/>
                <w:kern w:val="0"/>
                <w:sz w:val="24"/>
                <w:szCs w:val="24"/>
                <w:u w:val="none"/>
                <w:lang w:val="en-US" w:eastAsia="zh-CN" w:bidi="ar"/>
              </w:rPr>
              <w:t>实训项目单一，职业精神考核权重未明确，评价主体只有校内教师</w:t>
            </w:r>
          </w:p>
        </w:tc>
        <w:tc>
          <w:tcPr>
            <w:tcW w:w="4701" w:type="dxa"/>
            <w:vAlign w:val="center"/>
          </w:tcPr>
          <w:p w14:paraId="25796D28">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设定“职业精神”评价占比≥20%，邀请园所专家参与评分，形成多元评价</w:t>
            </w:r>
          </w:p>
        </w:tc>
      </w:tr>
      <w:tr w14:paraId="02E21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1F18B69">
            <w:pPr>
              <w:jc w:val="center"/>
              <w:rPr>
                <w:rFonts w:hint="eastAsia" w:ascii="仿宋" w:hAnsi="仿宋" w:eastAsia="仿宋" w:cs="仿宋"/>
                <w:sz w:val="24"/>
              </w:rPr>
            </w:pPr>
          </w:p>
        </w:tc>
        <w:tc>
          <w:tcPr>
            <w:tcW w:w="2769" w:type="dxa"/>
            <w:vMerge w:val="continue"/>
            <w:vAlign w:val="center"/>
          </w:tcPr>
          <w:p w14:paraId="5A7E4EC9">
            <w:pPr>
              <w:snapToGrid w:val="0"/>
              <w:jc w:val="left"/>
              <w:rPr>
                <w:rFonts w:hint="eastAsia" w:ascii="仿宋" w:hAnsi="仿宋" w:eastAsia="仿宋" w:cs="仿宋"/>
                <w:sz w:val="24"/>
              </w:rPr>
            </w:pPr>
          </w:p>
        </w:tc>
        <w:tc>
          <w:tcPr>
            <w:tcW w:w="4800" w:type="dxa"/>
            <w:vAlign w:val="center"/>
          </w:tcPr>
          <w:p w14:paraId="27E9510F">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3.</w:t>
            </w:r>
            <w:r>
              <w:rPr>
                <w:rFonts w:hint="default" w:ascii="仿宋" w:hAnsi="仿宋" w:eastAsia="仿宋" w:cs="仿宋"/>
                <w:i w:val="0"/>
                <w:iCs w:val="0"/>
                <w:color w:val="000000"/>
                <w:kern w:val="0"/>
                <w:sz w:val="24"/>
                <w:szCs w:val="24"/>
                <w:u w:val="none"/>
                <w:lang w:val="en-US" w:eastAsia="zh-CN" w:bidi="ar"/>
              </w:rPr>
              <w:t>实训室使用不均衡，创新设计、社团活动等利用率低于30%</w:t>
            </w:r>
          </w:p>
        </w:tc>
        <w:tc>
          <w:tcPr>
            <w:tcW w:w="4701" w:type="dxa"/>
            <w:vAlign w:val="center"/>
          </w:tcPr>
          <w:p w14:paraId="5554CA4E">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制定《实训室多元化使用指引》，开放预约，鼓励学生社团、竞赛团队入驻</w:t>
            </w:r>
          </w:p>
        </w:tc>
      </w:tr>
      <w:tr w14:paraId="7CE2D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504B36D1">
            <w:pPr>
              <w:jc w:val="center"/>
              <w:rPr>
                <w:rFonts w:hint="eastAsia" w:ascii="仿宋" w:hAnsi="仿宋" w:eastAsia="仿宋" w:cs="仿宋"/>
                <w:sz w:val="24"/>
              </w:rPr>
            </w:pPr>
            <w:r>
              <w:rPr>
                <w:rFonts w:hint="eastAsia" w:ascii="仿宋" w:hAnsi="仿宋" w:eastAsia="仿宋" w:cs="仿宋"/>
                <w:sz w:val="24"/>
              </w:rPr>
              <w:t>5.专业师资</w:t>
            </w:r>
          </w:p>
        </w:tc>
        <w:tc>
          <w:tcPr>
            <w:tcW w:w="2769" w:type="dxa"/>
            <w:vMerge w:val="restart"/>
            <w:vAlign w:val="center"/>
          </w:tcPr>
          <w:p w14:paraId="7082C2B8">
            <w:pPr>
              <w:snapToGrid w:val="0"/>
              <w:jc w:val="left"/>
              <w:rPr>
                <w:rFonts w:hint="eastAsia" w:ascii="仿宋" w:hAnsi="仿宋" w:eastAsia="仿宋" w:cs="仿宋"/>
                <w:sz w:val="24"/>
              </w:rPr>
            </w:pPr>
            <w:r>
              <w:rPr>
                <w:rFonts w:hint="eastAsia" w:ascii="仿宋" w:hAnsi="仿宋" w:eastAsia="仿宋" w:cs="仿宋"/>
                <w:sz w:val="24"/>
              </w:rPr>
              <w:t>5.1 专业带头人</w:t>
            </w:r>
          </w:p>
        </w:tc>
        <w:tc>
          <w:tcPr>
            <w:tcW w:w="4800" w:type="dxa"/>
            <w:vAlign w:val="center"/>
          </w:tcPr>
          <w:p w14:paraId="63750208">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1.专业带头人偏年轻，职称有待提升</w:t>
            </w:r>
          </w:p>
        </w:tc>
        <w:tc>
          <w:tcPr>
            <w:tcW w:w="4701" w:type="dxa"/>
            <w:vAlign w:val="center"/>
          </w:tcPr>
          <w:p w14:paraId="1ADBCA0B">
            <w:pPr>
              <w:jc w:val="left"/>
              <w:rPr>
                <w:rFonts w:hint="eastAsia" w:ascii="仿宋" w:hAnsi="仿宋" w:eastAsia="仿宋" w:cs="仿宋"/>
                <w:sz w:val="24"/>
              </w:rPr>
            </w:pPr>
            <w:r>
              <w:rPr>
                <w:rFonts w:hint="eastAsia" w:ascii="仿宋" w:hAnsi="仿宋" w:eastAsia="仿宋" w:cs="仿宋"/>
                <w:sz w:val="24"/>
              </w:rPr>
              <w:t>加强专业带头人培养</w:t>
            </w:r>
          </w:p>
        </w:tc>
      </w:tr>
      <w:tr w14:paraId="492D5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DFAEC6E">
            <w:pPr>
              <w:jc w:val="center"/>
              <w:rPr>
                <w:rFonts w:hint="eastAsia" w:ascii="仿宋" w:hAnsi="仿宋" w:eastAsia="仿宋" w:cs="仿宋"/>
                <w:sz w:val="24"/>
              </w:rPr>
            </w:pPr>
          </w:p>
        </w:tc>
        <w:tc>
          <w:tcPr>
            <w:tcW w:w="2769" w:type="dxa"/>
            <w:vMerge w:val="continue"/>
            <w:vAlign w:val="center"/>
          </w:tcPr>
          <w:p w14:paraId="0A38A16B">
            <w:pPr>
              <w:snapToGrid w:val="0"/>
              <w:jc w:val="left"/>
              <w:rPr>
                <w:rFonts w:hint="eastAsia" w:ascii="仿宋" w:hAnsi="仿宋" w:eastAsia="仿宋" w:cs="仿宋"/>
                <w:sz w:val="24"/>
              </w:rPr>
            </w:pPr>
          </w:p>
        </w:tc>
        <w:tc>
          <w:tcPr>
            <w:tcW w:w="4800" w:type="dxa"/>
            <w:vAlign w:val="center"/>
          </w:tcPr>
          <w:p w14:paraId="19DE53E8">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2.</w:t>
            </w:r>
            <w:r>
              <w:rPr>
                <w:rFonts w:hint="default" w:ascii="仿宋" w:hAnsi="仿宋" w:eastAsia="仿宋" w:cs="仿宋"/>
                <w:i w:val="0"/>
                <w:iCs w:val="0"/>
                <w:color w:val="000000"/>
                <w:kern w:val="0"/>
                <w:sz w:val="24"/>
                <w:szCs w:val="24"/>
                <w:u w:val="none"/>
                <w:lang w:val="en-US" w:eastAsia="zh-CN" w:bidi="ar"/>
              </w:rPr>
              <w:t>行业影响力不足，未参与行业标准制定、协会任职等活动</w:t>
            </w:r>
          </w:p>
        </w:tc>
        <w:tc>
          <w:tcPr>
            <w:tcW w:w="4701" w:type="dxa"/>
            <w:vAlign w:val="center"/>
          </w:tcPr>
          <w:p w14:paraId="69E4DB52">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支持带头人每年参加2次以上省级学术会议，申报行业协会理事或专家委员</w:t>
            </w:r>
          </w:p>
        </w:tc>
      </w:tr>
      <w:tr w14:paraId="7E831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0ECF3AC6">
            <w:pPr>
              <w:jc w:val="center"/>
              <w:rPr>
                <w:rFonts w:hint="eastAsia" w:ascii="仿宋" w:hAnsi="仿宋" w:eastAsia="仿宋" w:cs="仿宋"/>
                <w:sz w:val="24"/>
              </w:rPr>
            </w:pPr>
          </w:p>
        </w:tc>
        <w:tc>
          <w:tcPr>
            <w:tcW w:w="2769" w:type="dxa"/>
            <w:vMerge w:val="continue"/>
            <w:vAlign w:val="center"/>
          </w:tcPr>
          <w:p w14:paraId="083EA5D2">
            <w:pPr>
              <w:snapToGrid w:val="0"/>
              <w:jc w:val="left"/>
              <w:rPr>
                <w:rFonts w:hint="eastAsia" w:ascii="仿宋" w:hAnsi="仿宋" w:eastAsia="仿宋" w:cs="仿宋"/>
                <w:sz w:val="24"/>
              </w:rPr>
            </w:pPr>
          </w:p>
        </w:tc>
        <w:tc>
          <w:tcPr>
            <w:tcW w:w="4800" w:type="dxa"/>
            <w:vAlign w:val="center"/>
          </w:tcPr>
          <w:p w14:paraId="12427F63">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3.</w:t>
            </w:r>
            <w:r>
              <w:rPr>
                <w:rFonts w:hint="default" w:ascii="仿宋" w:hAnsi="仿宋" w:eastAsia="仿宋" w:cs="仿宋"/>
                <w:i w:val="0"/>
                <w:iCs w:val="0"/>
                <w:color w:val="000000"/>
                <w:kern w:val="0"/>
                <w:sz w:val="24"/>
                <w:szCs w:val="24"/>
                <w:u w:val="none"/>
                <w:lang w:val="en-US" w:eastAsia="zh-CN" w:bidi="ar"/>
              </w:rPr>
              <w:t>团队建设缺规划，青年教师成长路径不清晰，科研方向分散</w:t>
            </w:r>
          </w:p>
        </w:tc>
        <w:tc>
          <w:tcPr>
            <w:tcW w:w="4701" w:type="dxa"/>
            <w:vAlign w:val="center"/>
          </w:tcPr>
          <w:p w14:paraId="4BCBECD6">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制定“新手—骨干—带头人”三年成长路径，设立科研方向集群与阶段性考核</w:t>
            </w:r>
          </w:p>
        </w:tc>
      </w:tr>
      <w:tr w14:paraId="4E2FA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71BDBBCD">
            <w:pPr>
              <w:jc w:val="center"/>
              <w:rPr>
                <w:rFonts w:hint="eastAsia" w:ascii="仿宋" w:hAnsi="仿宋" w:eastAsia="仿宋" w:cs="仿宋"/>
                <w:sz w:val="24"/>
              </w:rPr>
            </w:pPr>
          </w:p>
        </w:tc>
        <w:tc>
          <w:tcPr>
            <w:tcW w:w="2769" w:type="dxa"/>
            <w:vMerge w:val="restart"/>
            <w:vAlign w:val="center"/>
          </w:tcPr>
          <w:p w14:paraId="7226AF15">
            <w:pPr>
              <w:snapToGrid w:val="0"/>
              <w:jc w:val="left"/>
              <w:rPr>
                <w:rFonts w:hint="eastAsia" w:ascii="仿宋" w:hAnsi="仿宋" w:eastAsia="仿宋" w:cs="仿宋"/>
                <w:sz w:val="24"/>
              </w:rPr>
            </w:pPr>
            <w:r>
              <w:rPr>
                <w:rFonts w:hint="eastAsia" w:ascii="仿宋" w:hAnsi="仿宋" w:eastAsia="仿宋" w:cs="仿宋"/>
                <w:sz w:val="24"/>
              </w:rPr>
              <w:t>5.2队伍结构</w:t>
            </w:r>
          </w:p>
        </w:tc>
        <w:tc>
          <w:tcPr>
            <w:tcW w:w="4800" w:type="dxa"/>
            <w:vAlign w:val="center"/>
          </w:tcPr>
          <w:p w14:paraId="5117AF64">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1.教师的学历和职称有待提升</w:t>
            </w:r>
          </w:p>
        </w:tc>
        <w:tc>
          <w:tcPr>
            <w:tcW w:w="4701" w:type="dxa"/>
            <w:vAlign w:val="center"/>
          </w:tcPr>
          <w:p w14:paraId="14B0656C">
            <w:pPr>
              <w:jc w:val="left"/>
              <w:rPr>
                <w:rFonts w:hint="eastAsia" w:ascii="仿宋" w:hAnsi="仿宋" w:eastAsia="仿宋" w:cs="仿宋"/>
                <w:sz w:val="24"/>
              </w:rPr>
            </w:pPr>
            <w:r>
              <w:rPr>
                <w:rFonts w:hint="eastAsia" w:ascii="仿宋" w:hAnsi="仿宋" w:eastAsia="仿宋" w:cs="仿宋"/>
                <w:sz w:val="24"/>
              </w:rPr>
              <w:t>1.鼓励教师提升学历；2.加强教师队伍建设，提升职称。</w:t>
            </w:r>
          </w:p>
        </w:tc>
      </w:tr>
      <w:tr w14:paraId="63C9B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650301B">
            <w:pPr>
              <w:jc w:val="center"/>
              <w:rPr>
                <w:rFonts w:hint="eastAsia" w:ascii="仿宋" w:hAnsi="仿宋" w:eastAsia="仿宋" w:cs="仿宋"/>
                <w:sz w:val="24"/>
              </w:rPr>
            </w:pPr>
          </w:p>
        </w:tc>
        <w:tc>
          <w:tcPr>
            <w:tcW w:w="2769" w:type="dxa"/>
            <w:vMerge w:val="continue"/>
            <w:vAlign w:val="center"/>
          </w:tcPr>
          <w:p w14:paraId="1D52374E">
            <w:pPr>
              <w:snapToGrid w:val="0"/>
              <w:jc w:val="left"/>
              <w:rPr>
                <w:rFonts w:hint="eastAsia" w:ascii="仿宋" w:hAnsi="仿宋" w:eastAsia="仿宋" w:cs="仿宋"/>
                <w:sz w:val="24"/>
              </w:rPr>
            </w:pPr>
          </w:p>
        </w:tc>
        <w:tc>
          <w:tcPr>
            <w:tcW w:w="4800" w:type="dxa"/>
            <w:vAlign w:val="center"/>
          </w:tcPr>
          <w:p w14:paraId="7620675A">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2.涉及到师资队伍数据的在不同的教材中出现了数字不统一的情况</w:t>
            </w:r>
          </w:p>
        </w:tc>
        <w:tc>
          <w:tcPr>
            <w:tcW w:w="4701" w:type="dxa"/>
            <w:vAlign w:val="center"/>
          </w:tcPr>
          <w:p w14:paraId="5429D47E">
            <w:pPr>
              <w:jc w:val="left"/>
              <w:rPr>
                <w:rFonts w:hint="eastAsia" w:ascii="仿宋" w:hAnsi="仿宋" w:eastAsia="仿宋" w:cs="仿宋"/>
                <w:sz w:val="24"/>
              </w:rPr>
            </w:pPr>
            <w:r>
              <w:rPr>
                <w:rFonts w:hint="eastAsia" w:ascii="仿宋" w:hAnsi="仿宋" w:eastAsia="仿宋" w:cs="仿宋"/>
                <w:sz w:val="24"/>
              </w:rPr>
              <w:t>统计采集路径</w:t>
            </w:r>
          </w:p>
        </w:tc>
      </w:tr>
      <w:tr w14:paraId="3D3B2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013D7B60">
            <w:pPr>
              <w:jc w:val="center"/>
              <w:rPr>
                <w:rFonts w:hint="eastAsia" w:ascii="仿宋" w:hAnsi="仿宋" w:eastAsia="仿宋" w:cs="仿宋"/>
                <w:sz w:val="24"/>
              </w:rPr>
            </w:pPr>
          </w:p>
        </w:tc>
        <w:tc>
          <w:tcPr>
            <w:tcW w:w="2769" w:type="dxa"/>
            <w:vMerge w:val="continue"/>
            <w:vAlign w:val="center"/>
          </w:tcPr>
          <w:p w14:paraId="630A2168">
            <w:pPr>
              <w:snapToGrid w:val="0"/>
              <w:jc w:val="left"/>
              <w:rPr>
                <w:rFonts w:hint="eastAsia" w:ascii="仿宋" w:hAnsi="仿宋" w:eastAsia="仿宋" w:cs="仿宋"/>
                <w:sz w:val="24"/>
              </w:rPr>
            </w:pPr>
          </w:p>
        </w:tc>
        <w:tc>
          <w:tcPr>
            <w:tcW w:w="4800" w:type="dxa"/>
            <w:vAlign w:val="center"/>
          </w:tcPr>
          <w:p w14:paraId="4DFAD681">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3.</w:t>
            </w:r>
            <w:r>
              <w:rPr>
                <w:rFonts w:hint="default" w:ascii="仿宋" w:hAnsi="仿宋" w:eastAsia="仿宋" w:cs="仿宋"/>
                <w:i w:val="0"/>
                <w:iCs w:val="0"/>
                <w:color w:val="000000"/>
                <w:kern w:val="0"/>
                <w:sz w:val="24"/>
                <w:szCs w:val="24"/>
                <w:u w:val="none"/>
                <w:lang w:val="en-US" w:eastAsia="zh-CN" w:bidi="ar"/>
              </w:rPr>
              <w:t>高级职称教师为0，研究生学历比例低于80%，梯队断层明显</w:t>
            </w:r>
          </w:p>
        </w:tc>
        <w:tc>
          <w:tcPr>
            <w:tcW w:w="4701" w:type="dxa"/>
            <w:vAlign w:val="center"/>
          </w:tcPr>
          <w:p w14:paraId="0909CE8B">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引进1-2名副高及以上人才；鼓励在职读硕，给予学费补贴与职称加分</w:t>
            </w:r>
          </w:p>
        </w:tc>
      </w:tr>
      <w:tr w14:paraId="05D82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753E1C73">
            <w:pPr>
              <w:jc w:val="center"/>
              <w:rPr>
                <w:rFonts w:hint="eastAsia" w:ascii="仿宋" w:hAnsi="仿宋" w:eastAsia="仿宋" w:cs="仿宋"/>
                <w:sz w:val="24"/>
              </w:rPr>
            </w:pPr>
          </w:p>
        </w:tc>
        <w:tc>
          <w:tcPr>
            <w:tcW w:w="2769" w:type="dxa"/>
            <w:vMerge w:val="continue"/>
            <w:vAlign w:val="center"/>
          </w:tcPr>
          <w:p w14:paraId="038D3C67">
            <w:pPr>
              <w:snapToGrid w:val="0"/>
              <w:jc w:val="left"/>
              <w:rPr>
                <w:rFonts w:hint="eastAsia" w:ascii="仿宋" w:hAnsi="仿宋" w:eastAsia="仿宋" w:cs="仿宋"/>
                <w:sz w:val="24"/>
              </w:rPr>
            </w:pPr>
          </w:p>
        </w:tc>
        <w:tc>
          <w:tcPr>
            <w:tcW w:w="4800" w:type="dxa"/>
            <w:vAlign w:val="center"/>
          </w:tcPr>
          <w:p w14:paraId="448634B6">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4.</w:t>
            </w:r>
            <w:r>
              <w:rPr>
                <w:rFonts w:hint="default" w:ascii="仿宋" w:hAnsi="仿宋" w:eastAsia="仿宋" w:cs="仿宋"/>
                <w:i w:val="0"/>
                <w:iCs w:val="0"/>
                <w:color w:val="000000"/>
                <w:kern w:val="0"/>
                <w:sz w:val="24"/>
                <w:szCs w:val="24"/>
                <w:u w:val="none"/>
                <w:lang w:val="en-US" w:eastAsia="zh-CN" w:bidi="ar"/>
              </w:rPr>
              <w:t>双师型教师占比仅60%，未达75%，行业资质覆盖不足</w:t>
            </w:r>
          </w:p>
        </w:tc>
        <w:tc>
          <w:tcPr>
            <w:tcW w:w="4701" w:type="dxa"/>
            <w:vAlign w:val="center"/>
          </w:tcPr>
          <w:p w14:paraId="34515B2B">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设立“行业职称晋升”专项激励，对考取中级以上幼教资质教师给予绩效加分</w:t>
            </w:r>
          </w:p>
        </w:tc>
      </w:tr>
      <w:tr w14:paraId="5D694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0F6B6D01">
            <w:pPr>
              <w:jc w:val="center"/>
              <w:rPr>
                <w:rFonts w:hint="eastAsia" w:ascii="仿宋" w:hAnsi="仿宋" w:eastAsia="仿宋" w:cs="仿宋"/>
                <w:sz w:val="24"/>
              </w:rPr>
            </w:pPr>
          </w:p>
        </w:tc>
        <w:tc>
          <w:tcPr>
            <w:tcW w:w="2769" w:type="dxa"/>
            <w:vMerge w:val="restart"/>
            <w:vAlign w:val="center"/>
          </w:tcPr>
          <w:p w14:paraId="794F9853">
            <w:pPr>
              <w:snapToGrid w:val="0"/>
              <w:jc w:val="left"/>
              <w:rPr>
                <w:rFonts w:hint="eastAsia" w:ascii="仿宋" w:hAnsi="仿宋" w:eastAsia="仿宋" w:cs="仿宋"/>
                <w:sz w:val="24"/>
              </w:rPr>
            </w:pPr>
            <w:r>
              <w:rPr>
                <w:rFonts w:hint="eastAsia" w:ascii="仿宋" w:hAnsi="仿宋" w:eastAsia="仿宋" w:cs="仿宋"/>
                <w:sz w:val="24"/>
              </w:rPr>
              <w:t>5.3师德与履职能力</w:t>
            </w:r>
          </w:p>
        </w:tc>
        <w:tc>
          <w:tcPr>
            <w:tcW w:w="4800" w:type="dxa"/>
            <w:vAlign w:val="center"/>
          </w:tcPr>
          <w:p w14:paraId="7D93910C">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1.</w:t>
            </w:r>
            <w:bookmarkStart w:id="2" w:name="OLE_LINK7"/>
            <w:r>
              <w:rPr>
                <w:rFonts w:hint="eastAsia" w:ascii="仿宋" w:hAnsi="仿宋" w:eastAsia="仿宋" w:cs="仿宋"/>
                <w:color w:val="000000"/>
                <w:kern w:val="0"/>
                <w:sz w:val="24"/>
                <w:lang w:bidi="ar"/>
              </w:rPr>
              <w:t>师德活动多集中在讲座、座谈等</w:t>
            </w:r>
            <w:bookmarkEnd w:id="2"/>
            <w:r>
              <w:rPr>
                <w:rFonts w:hint="eastAsia" w:ascii="仿宋" w:hAnsi="仿宋" w:eastAsia="仿宋" w:cs="仿宋"/>
                <w:color w:val="000000"/>
                <w:kern w:val="0"/>
                <w:sz w:val="24"/>
                <w:lang w:bidi="ar"/>
              </w:rPr>
              <w:t>方面，其他佐证材料与此项目关系比较牵强</w:t>
            </w:r>
          </w:p>
        </w:tc>
        <w:tc>
          <w:tcPr>
            <w:tcW w:w="4701" w:type="dxa"/>
            <w:vAlign w:val="center"/>
          </w:tcPr>
          <w:p w14:paraId="213084F4">
            <w:pPr>
              <w:jc w:val="left"/>
              <w:rPr>
                <w:rFonts w:hint="eastAsia" w:ascii="仿宋" w:hAnsi="仿宋" w:eastAsia="仿宋" w:cs="仿宋"/>
                <w:sz w:val="24"/>
              </w:rPr>
            </w:pPr>
            <w:r>
              <w:rPr>
                <w:rFonts w:hint="eastAsia" w:ascii="仿宋" w:hAnsi="仿宋" w:eastAsia="仿宋" w:cs="仿宋"/>
                <w:sz w:val="24"/>
              </w:rPr>
              <w:t>将师德要求真正落地到“教书育人”全过程，可以形成典型案例。</w:t>
            </w:r>
          </w:p>
        </w:tc>
      </w:tr>
      <w:tr w14:paraId="6AE0C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4D66E78D">
            <w:pPr>
              <w:jc w:val="center"/>
              <w:rPr>
                <w:rFonts w:hint="eastAsia" w:ascii="仿宋" w:hAnsi="仿宋" w:eastAsia="仿宋" w:cs="仿宋"/>
                <w:sz w:val="24"/>
              </w:rPr>
            </w:pPr>
          </w:p>
        </w:tc>
        <w:tc>
          <w:tcPr>
            <w:tcW w:w="2769" w:type="dxa"/>
            <w:vMerge w:val="continue"/>
            <w:vAlign w:val="center"/>
          </w:tcPr>
          <w:p w14:paraId="0715E103">
            <w:pPr>
              <w:snapToGrid w:val="0"/>
              <w:jc w:val="left"/>
              <w:rPr>
                <w:rFonts w:hint="eastAsia" w:ascii="仿宋" w:hAnsi="仿宋" w:eastAsia="仿宋" w:cs="仿宋"/>
                <w:sz w:val="24"/>
              </w:rPr>
            </w:pPr>
          </w:p>
        </w:tc>
        <w:tc>
          <w:tcPr>
            <w:tcW w:w="4800" w:type="dxa"/>
            <w:vAlign w:val="center"/>
          </w:tcPr>
          <w:p w14:paraId="43B3DD5B">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2.</w:t>
            </w:r>
            <w:r>
              <w:rPr>
                <w:rFonts w:hint="default" w:ascii="仿宋" w:hAnsi="仿宋" w:eastAsia="仿宋" w:cs="仿宋"/>
                <w:i w:val="0"/>
                <w:iCs w:val="0"/>
                <w:color w:val="000000"/>
                <w:kern w:val="0"/>
                <w:sz w:val="24"/>
                <w:szCs w:val="24"/>
                <w:u w:val="none"/>
                <w:lang w:val="en-US" w:eastAsia="zh-CN" w:bidi="ar"/>
              </w:rPr>
              <w:t>师德考核以年度集中测评为主，缺乏日常行为记录与过程性评价</w:t>
            </w:r>
          </w:p>
        </w:tc>
        <w:tc>
          <w:tcPr>
            <w:tcW w:w="4701" w:type="dxa"/>
            <w:vAlign w:val="center"/>
          </w:tcPr>
          <w:p w14:paraId="758D1DCB">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建立“师德日常台账”，师生互评、园所反馈占比50%，纳入年度考核</w:t>
            </w:r>
          </w:p>
        </w:tc>
      </w:tr>
      <w:tr w14:paraId="7872C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38792754">
            <w:pPr>
              <w:jc w:val="center"/>
              <w:rPr>
                <w:rFonts w:hint="eastAsia" w:ascii="仿宋" w:hAnsi="仿宋" w:eastAsia="仿宋" w:cs="仿宋"/>
                <w:sz w:val="24"/>
              </w:rPr>
            </w:pPr>
          </w:p>
        </w:tc>
        <w:tc>
          <w:tcPr>
            <w:tcW w:w="2769" w:type="dxa"/>
            <w:vMerge w:val="continue"/>
            <w:vAlign w:val="center"/>
          </w:tcPr>
          <w:p w14:paraId="6F8BD912">
            <w:pPr>
              <w:snapToGrid w:val="0"/>
              <w:jc w:val="left"/>
              <w:rPr>
                <w:rFonts w:hint="eastAsia" w:ascii="仿宋" w:hAnsi="仿宋" w:eastAsia="仿宋" w:cs="仿宋"/>
                <w:sz w:val="24"/>
              </w:rPr>
            </w:pPr>
          </w:p>
        </w:tc>
        <w:tc>
          <w:tcPr>
            <w:tcW w:w="4800" w:type="dxa"/>
            <w:vAlign w:val="center"/>
          </w:tcPr>
          <w:p w14:paraId="322306E0">
            <w:pPr>
              <w:keepNext w:val="0"/>
              <w:keepLines w:val="0"/>
              <w:widowControl/>
              <w:suppressLineNumbers w:val="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3.</w:t>
            </w:r>
            <w:r>
              <w:rPr>
                <w:rFonts w:hint="default" w:ascii="仿宋" w:hAnsi="仿宋" w:eastAsia="仿宋" w:cs="仿宋"/>
                <w:i w:val="0"/>
                <w:iCs w:val="0"/>
                <w:color w:val="000000"/>
                <w:kern w:val="0"/>
                <w:sz w:val="24"/>
                <w:szCs w:val="24"/>
                <w:highlight w:val="none"/>
                <w:u w:val="none"/>
                <w:lang w:val="en-US" w:eastAsia="zh-CN" w:bidi="ar"/>
              </w:rPr>
              <w:t>校企双向交流深度不足，教师下企业仅15%参与真实案例开发</w:t>
            </w:r>
          </w:p>
        </w:tc>
        <w:tc>
          <w:tcPr>
            <w:tcW w:w="4701" w:type="dxa"/>
            <w:vAlign w:val="center"/>
          </w:tcPr>
          <w:p w14:paraId="5FD3D377">
            <w:pPr>
              <w:keepNext w:val="0"/>
              <w:keepLines w:val="0"/>
              <w:widowControl/>
              <w:suppressLineNumbers w:val="0"/>
              <w:jc w:val="left"/>
              <w:textAlignment w:val="center"/>
              <w:rPr>
                <w:rFonts w:hint="default" w:ascii="仿宋" w:hAnsi="仿宋" w:eastAsia="仿宋" w:cs="仿宋"/>
                <w:i w:val="0"/>
                <w:iCs w:val="0"/>
                <w:color w:val="000000"/>
                <w:kern w:val="0"/>
                <w:sz w:val="24"/>
                <w:szCs w:val="24"/>
                <w:u w:val="none"/>
                <w:lang w:val="en-US" w:eastAsia="zh-CN" w:bidi="ar"/>
              </w:rPr>
            </w:pPr>
            <w:r>
              <w:rPr>
                <w:rFonts w:hint="default" w:ascii="仿宋" w:hAnsi="仿宋" w:eastAsia="仿宋" w:cs="仿宋"/>
                <w:i w:val="0"/>
                <w:iCs w:val="0"/>
                <w:color w:val="000000"/>
                <w:kern w:val="0"/>
                <w:sz w:val="24"/>
                <w:szCs w:val="24"/>
                <w:u w:val="none"/>
                <w:lang w:val="en-US" w:eastAsia="zh-CN" w:bidi="ar"/>
              </w:rPr>
              <w:t>细化下企业任务书，要求每人完成2项保教案例开发并纳入课程，校内验收</w:t>
            </w:r>
          </w:p>
        </w:tc>
      </w:tr>
      <w:tr w14:paraId="6602A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525CABA">
            <w:pPr>
              <w:jc w:val="center"/>
              <w:rPr>
                <w:rFonts w:hint="eastAsia" w:ascii="仿宋" w:hAnsi="仿宋" w:eastAsia="仿宋" w:cs="仿宋"/>
                <w:sz w:val="24"/>
              </w:rPr>
            </w:pPr>
          </w:p>
        </w:tc>
        <w:tc>
          <w:tcPr>
            <w:tcW w:w="2769" w:type="dxa"/>
            <w:vMerge w:val="restart"/>
            <w:vAlign w:val="center"/>
          </w:tcPr>
          <w:p w14:paraId="650EA883">
            <w:pPr>
              <w:snapToGrid w:val="0"/>
              <w:jc w:val="left"/>
              <w:rPr>
                <w:rFonts w:hint="eastAsia" w:ascii="仿宋" w:hAnsi="仿宋" w:eastAsia="仿宋" w:cs="仿宋"/>
                <w:sz w:val="24"/>
              </w:rPr>
            </w:pPr>
            <w:r>
              <w:rPr>
                <w:rFonts w:hint="eastAsia" w:ascii="仿宋" w:hAnsi="仿宋" w:eastAsia="仿宋" w:cs="仿宋"/>
                <w:sz w:val="24"/>
              </w:rPr>
              <w:t>5.4专业教师实践能力</w:t>
            </w:r>
          </w:p>
        </w:tc>
        <w:tc>
          <w:tcPr>
            <w:tcW w:w="4800" w:type="dxa"/>
            <w:vAlign w:val="center"/>
          </w:tcPr>
          <w:p w14:paraId="7E6394D9">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1.双师型教师比例偏低</w:t>
            </w:r>
          </w:p>
        </w:tc>
        <w:tc>
          <w:tcPr>
            <w:tcW w:w="4701" w:type="dxa"/>
            <w:vAlign w:val="center"/>
          </w:tcPr>
          <w:p w14:paraId="4D523687">
            <w:pPr>
              <w:jc w:val="left"/>
              <w:rPr>
                <w:rFonts w:hint="eastAsia" w:ascii="仿宋" w:hAnsi="仿宋" w:eastAsia="仿宋" w:cs="仿宋"/>
                <w:sz w:val="24"/>
              </w:rPr>
            </w:pPr>
          </w:p>
        </w:tc>
      </w:tr>
      <w:tr w14:paraId="70DB1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0225EF3">
            <w:pPr>
              <w:jc w:val="center"/>
              <w:rPr>
                <w:rFonts w:hint="eastAsia" w:ascii="仿宋" w:hAnsi="仿宋" w:eastAsia="仿宋" w:cs="仿宋"/>
                <w:sz w:val="24"/>
              </w:rPr>
            </w:pPr>
          </w:p>
        </w:tc>
        <w:tc>
          <w:tcPr>
            <w:tcW w:w="2769" w:type="dxa"/>
            <w:vMerge w:val="continue"/>
            <w:vAlign w:val="center"/>
          </w:tcPr>
          <w:p w14:paraId="11A14EB2">
            <w:pPr>
              <w:snapToGrid w:val="0"/>
              <w:jc w:val="left"/>
              <w:rPr>
                <w:rFonts w:hint="eastAsia" w:ascii="仿宋" w:hAnsi="仿宋" w:eastAsia="仿宋" w:cs="仿宋"/>
                <w:sz w:val="24"/>
              </w:rPr>
            </w:pPr>
          </w:p>
        </w:tc>
        <w:tc>
          <w:tcPr>
            <w:tcW w:w="4800" w:type="dxa"/>
            <w:vAlign w:val="center"/>
          </w:tcPr>
          <w:p w14:paraId="7454C1E7">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2.在教师下企业锻炼中能对不能专业和发展方向的老师提出不同的要求，这点很好，但教师挂职后的成果转化不够明显</w:t>
            </w:r>
          </w:p>
        </w:tc>
        <w:tc>
          <w:tcPr>
            <w:tcW w:w="4701" w:type="dxa"/>
            <w:vAlign w:val="center"/>
          </w:tcPr>
          <w:p w14:paraId="729FA071">
            <w:pPr>
              <w:jc w:val="left"/>
              <w:rPr>
                <w:rFonts w:hint="eastAsia" w:ascii="仿宋" w:hAnsi="仿宋" w:eastAsia="仿宋" w:cs="仿宋"/>
                <w:sz w:val="24"/>
              </w:rPr>
            </w:pPr>
            <w:r>
              <w:rPr>
                <w:rFonts w:hint="eastAsia" w:ascii="仿宋" w:hAnsi="仿宋" w:eastAsia="仿宋" w:cs="仿宋"/>
                <w:sz w:val="24"/>
              </w:rPr>
              <w:t>挂职前帮助教师明确挂职目的，梳理挂职任务，带着项目下去挂职，作为挂职考核的标准之一。</w:t>
            </w:r>
          </w:p>
        </w:tc>
      </w:tr>
      <w:tr w14:paraId="15F35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3AB50FAB">
            <w:pPr>
              <w:jc w:val="center"/>
              <w:rPr>
                <w:rFonts w:hint="eastAsia" w:ascii="仿宋" w:hAnsi="仿宋" w:eastAsia="仿宋" w:cs="仿宋"/>
                <w:sz w:val="24"/>
              </w:rPr>
            </w:pPr>
          </w:p>
        </w:tc>
        <w:tc>
          <w:tcPr>
            <w:tcW w:w="2769" w:type="dxa"/>
            <w:vMerge w:val="continue"/>
            <w:vAlign w:val="center"/>
          </w:tcPr>
          <w:p w14:paraId="7BF0DC9C">
            <w:pPr>
              <w:snapToGrid w:val="0"/>
              <w:jc w:val="left"/>
              <w:rPr>
                <w:rFonts w:hint="eastAsia" w:ascii="仿宋" w:hAnsi="仿宋" w:eastAsia="仿宋" w:cs="仿宋"/>
                <w:sz w:val="24"/>
              </w:rPr>
            </w:pPr>
          </w:p>
        </w:tc>
        <w:tc>
          <w:tcPr>
            <w:tcW w:w="4800" w:type="dxa"/>
            <w:vAlign w:val="center"/>
          </w:tcPr>
          <w:p w14:paraId="090AA6E1">
            <w:pPr>
              <w:keepNext w:val="0"/>
              <w:keepLines w:val="0"/>
              <w:widowControl/>
              <w:suppressLineNumbers w:val="0"/>
              <w:jc w:val="left"/>
              <w:textAlignment w:val="center"/>
              <w:rPr>
                <w:rFonts w:hint="eastAsia" w:ascii="仿宋" w:hAnsi="仿宋" w:eastAsia="仿宋" w:cs="仿宋"/>
                <w:color w:val="000000"/>
                <w:kern w:val="0"/>
                <w:sz w:val="24"/>
                <w:highlight w:val="none"/>
                <w:lang w:bidi="ar"/>
              </w:rPr>
            </w:pPr>
            <w:r>
              <w:rPr>
                <w:rFonts w:hint="eastAsia" w:ascii="仿宋" w:hAnsi="仿宋" w:eastAsia="仿宋" w:cs="仿宋"/>
                <w:i w:val="0"/>
                <w:iCs w:val="0"/>
                <w:color w:val="000000"/>
                <w:kern w:val="0"/>
                <w:sz w:val="24"/>
                <w:szCs w:val="24"/>
                <w:highlight w:val="none"/>
                <w:u w:val="none"/>
                <w:lang w:val="en-US" w:eastAsia="zh-CN" w:bidi="ar"/>
              </w:rPr>
              <w:t>3.</w:t>
            </w:r>
            <w:r>
              <w:rPr>
                <w:rFonts w:hint="default" w:ascii="仿宋" w:hAnsi="仿宋" w:eastAsia="仿宋" w:cs="仿宋"/>
                <w:i w:val="0"/>
                <w:iCs w:val="0"/>
                <w:color w:val="000000"/>
                <w:kern w:val="0"/>
                <w:sz w:val="24"/>
                <w:szCs w:val="24"/>
                <w:highlight w:val="none"/>
                <w:u w:val="none"/>
                <w:lang w:val="en-US" w:eastAsia="zh-CN" w:bidi="ar"/>
              </w:rPr>
              <w:t>教师下企业实践时间短，深度参与幼儿园活动不足</w:t>
            </w:r>
          </w:p>
        </w:tc>
        <w:tc>
          <w:tcPr>
            <w:tcW w:w="4701" w:type="dxa"/>
            <w:vAlign w:val="center"/>
          </w:tcPr>
          <w:p w14:paraId="6B08457A">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将短期研修延长至每学期4周，安排教师独立承担幼儿园班级管理任务</w:t>
            </w:r>
          </w:p>
        </w:tc>
      </w:tr>
      <w:tr w14:paraId="69BDA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478B40BC">
            <w:pPr>
              <w:jc w:val="center"/>
              <w:rPr>
                <w:rFonts w:hint="eastAsia" w:ascii="仿宋" w:hAnsi="仿宋" w:eastAsia="仿宋" w:cs="仿宋"/>
                <w:sz w:val="24"/>
              </w:rPr>
            </w:pPr>
          </w:p>
        </w:tc>
        <w:tc>
          <w:tcPr>
            <w:tcW w:w="2769" w:type="dxa"/>
            <w:vMerge w:val="continue"/>
            <w:vAlign w:val="center"/>
          </w:tcPr>
          <w:p w14:paraId="4FAB7981">
            <w:pPr>
              <w:snapToGrid w:val="0"/>
              <w:jc w:val="left"/>
              <w:rPr>
                <w:rFonts w:hint="eastAsia" w:ascii="仿宋" w:hAnsi="仿宋" w:eastAsia="仿宋" w:cs="仿宋"/>
                <w:sz w:val="24"/>
              </w:rPr>
            </w:pPr>
          </w:p>
        </w:tc>
        <w:tc>
          <w:tcPr>
            <w:tcW w:w="4800" w:type="dxa"/>
            <w:vAlign w:val="center"/>
          </w:tcPr>
          <w:p w14:paraId="2C0E0679">
            <w:pPr>
              <w:keepNext w:val="0"/>
              <w:keepLines w:val="0"/>
              <w:widowControl/>
              <w:suppressLineNumbers w:val="0"/>
              <w:jc w:val="left"/>
              <w:textAlignment w:val="center"/>
              <w:rPr>
                <w:rFonts w:hint="eastAsia" w:ascii="仿宋" w:hAnsi="仿宋" w:eastAsia="仿宋" w:cs="仿宋"/>
                <w:color w:val="000000"/>
                <w:kern w:val="0"/>
                <w:sz w:val="24"/>
                <w:highlight w:val="none"/>
                <w:lang w:bidi="ar"/>
              </w:rPr>
            </w:pPr>
            <w:r>
              <w:rPr>
                <w:rFonts w:hint="eastAsia" w:ascii="仿宋" w:hAnsi="仿宋" w:eastAsia="仿宋" w:cs="仿宋"/>
                <w:i w:val="0"/>
                <w:iCs w:val="0"/>
                <w:color w:val="000000"/>
                <w:kern w:val="0"/>
                <w:sz w:val="24"/>
                <w:szCs w:val="24"/>
                <w:highlight w:val="none"/>
                <w:u w:val="none"/>
                <w:lang w:val="en-US" w:eastAsia="zh-CN" w:bidi="ar"/>
              </w:rPr>
              <w:t>4.</w:t>
            </w:r>
            <w:r>
              <w:rPr>
                <w:rFonts w:hint="default" w:ascii="仿宋" w:hAnsi="仿宋" w:eastAsia="仿宋" w:cs="仿宋"/>
                <w:i w:val="0"/>
                <w:iCs w:val="0"/>
                <w:color w:val="000000"/>
                <w:kern w:val="0"/>
                <w:sz w:val="24"/>
                <w:szCs w:val="24"/>
                <w:highlight w:val="none"/>
                <w:u w:val="none"/>
                <w:lang w:val="en-US" w:eastAsia="zh-CN" w:bidi="ar"/>
              </w:rPr>
              <w:t>教师将实践经验转化为教学资源比例低，案例更新慢</w:t>
            </w:r>
          </w:p>
        </w:tc>
        <w:tc>
          <w:tcPr>
            <w:tcW w:w="4701" w:type="dxa"/>
            <w:vAlign w:val="center"/>
          </w:tcPr>
          <w:p w14:paraId="613AA51A">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建立“实践—案例—课程”转化机制，每学期组织实践案例评比并纳入绩效</w:t>
            </w:r>
          </w:p>
        </w:tc>
      </w:tr>
      <w:tr w14:paraId="012B0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A5C1457">
            <w:pPr>
              <w:jc w:val="center"/>
              <w:rPr>
                <w:rFonts w:hint="eastAsia" w:ascii="仿宋" w:hAnsi="仿宋" w:eastAsia="仿宋" w:cs="仿宋"/>
                <w:sz w:val="24"/>
              </w:rPr>
            </w:pPr>
          </w:p>
        </w:tc>
        <w:tc>
          <w:tcPr>
            <w:tcW w:w="2769" w:type="dxa"/>
            <w:vMerge w:val="restart"/>
            <w:vAlign w:val="center"/>
          </w:tcPr>
          <w:p w14:paraId="4683BAE1">
            <w:pPr>
              <w:snapToGrid w:val="0"/>
              <w:jc w:val="left"/>
              <w:rPr>
                <w:rFonts w:hint="eastAsia" w:ascii="仿宋" w:hAnsi="仿宋" w:eastAsia="仿宋" w:cs="仿宋"/>
                <w:sz w:val="24"/>
              </w:rPr>
            </w:pPr>
            <w:r>
              <w:rPr>
                <w:rFonts w:hint="eastAsia" w:ascii="仿宋" w:hAnsi="仿宋" w:eastAsia="仿宋" w:cs="仿宋"/>
                <w:sz w:val="24"/>
              </w:rPr>
              <w:t>5.5 教学科研能力</w:t>
            </w:r>
          </w:p>
        </w:tc>
        <w:tc>
          <w:tcPr>
            <w:tcW w:w="4800" w:type="dxa"/>
            <w:vAlign w:val="center"/>
          </w:tcPr>
          <w:p w14:paraId="46A51497">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1.高级别的项目比较不够</w:t>
            </w:r>
          </w:p>
        </w:tc>
        <w:tc>
          <w:tcPr>
            <w:tcW w:w="4701" w:type="dxa"/>
            <w:vAlign w:val="center"/>
          </w:tcPr>
          <w:p w14:paraId="4613D04D">
            <w:pPr>
              <w:jc w:val="left"/>
              <w:rPr>
                <w:rFonts w:hint="eastAsia" w:ascii="仿宋" w:hAnsi="仿宋" w:eastAsia="仿宋" w:cs="仿宋"/>
                <w:sz w:val="24"/>
              </w:rPr>
            </w:pPr>
            <w:r>
              <w:rPr>
                <w:rFonts w:hint="eastAsia" w:ascii="仿宋" w:hAnsi="仿宋" w:eastAsia="仿宋" w:cs="仿宋"/>
                <w:sz w:val="24"/>
              </w:rPr>
              <w:t>柔性引进人才或学术带头人，形成科研团队，以老带新，完成项目申报。</w:t>
            </w:r>
          </w:p>
        </w:tc>
      </w:tr>
      <w:tr w14:paraId="6EE7E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7858F2FE">
            <w:pPr>
              <w:jc w:val="center"/>
              <w:rPr>
                <w:rFonts w:hint="eastAsia" w:ascii="仿宋" w:hAnsi="仿宋" w:eastAsia="仿宋" w:cs="仿宋"/>
                <w:sz w:val="24"/>
              </w:rPr>
            </w:pPr>
          </w:p>
        </w:tc>
        <w:tc>
          <w:tcPr>
            <w:tcW w:w="2769" w:type="dxa"/>
            <w:vMerge w:val="continue"/>
            <w:vAlign w:val="center"/>
          </w:tcPr>
          <w:p w14:paraId="5C918821">
            <w:pPr>
              <w:snapToGrid w:val="0"/>
              <w:jc w:val="left"/>
              <w:rPr>
                <w:rFonts w:hint="eastAsia" w:ascii="仿宋" w:hAnsi="仿宋" w:eastAsia="仿宋" w:cs="仿宋"/>
                <w:sz w:val="24"/>
              </w:rPr>
            </w:pPr>
          </w:p>
        </w:tc>
        <w:tc>
          <w:tcPr>
            <w:tcW w:w="4800" w:type="dxa"/>
            <w:vAlign w:val="center"/>
          </w:tcPr>
          <w:p w14:paraId="2E2028EC">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2.</w:t>
            </w:r>
            <w:r>
              <w:rPr>
                <w:rFonts w:hint="default" w:ascii="仿宋" w:hAnsi="仿宋" w:eastAsia="仿宋" w:cs="仿宋"/>
                <w:i w:val="0"/>
                <w:iCs w:val="0"/>
                <w:color w:val="000000"/>
                <w:kern w:val="0"/>
                <w:sz w:val="24"/>
                <w:szCs w:val="24"/>
                <w:u w:val="none"/>
                <w:lang w:val="en-US" w:eastAsia="zh-CN" w:bidi="ar"/>
              </w:rPr>
              <w:t>科研课题数量少、级别低，近三年省级以上项目仅1项</w:t>
            </w:r>
          </w:p>
        </w:tc>
        <w:tc>
          <w:tcPr>
            <w:tcW w:w="4701" w:type="dxa"/>
            <w:vAlign w:val="center"/>
          </w:tcPr>
          <w:p w14:paraId="00BC1B03">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设立“科研启动基金”，对获批省级项目团队给予1:1配套经费与职称加分</w:t>
            </w:r>
          </w:p>
        </w:tc>
      </w:tr>
      <w:tr w14:paraId="420C1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3C75FC57">
            <w:pPr>
              <w:jc w:val="center"/>
              <w:rPr>
                <w:rFonts w:hint="eastAsia" w:ascii="仿宋" w:hAnsi="仿宋" w:eastAsia="仿宋" w:cs="仿宋"/>
                <w:sz w:val="24"/>
              </w:rPr>
            </w:pPr>
          </w:p>
        </w:tc>
        <w:tc>
          <w:tcPr>
            <w:tcW w:w="2769" w:type="dxa"/>
            <w:vMerge w:val="continue"/>
            <w:vAlign w:val="center"/>
          </w:tcPr>
          <w:p w14:paraId="56D354BB">
            <w:pPr>
              <w:snapToGrid w:val="0"/>
              <w:jc w:val="left"/>
              <w:rPr>
                <w:rFonts w:hint="eastAsia" w:ascii="仿宋" w:hAnsi="仿宋" w:eastAsia="仿宋" w:cs="仿宋"/>
                <w:sz w:val="24"/>
              </w:rPr>
            </w:pPr>
          </w:p>
        </w:tc>
        <w:tc>
          <w:tcPr>
            <w:tcW w:w="4800" w:type="dxa"/>
            <w:vAlign w:val="center"/>
          </w:tcPr>
          <w:p w14:paraId="581F3E8B">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3.</w:t>
            </w:r>
            <w:r>
              <w:rPr>
                <w:rFonts w:hint="default" w:ascii="仿宋" w:hAnsi="仿宋" w:eastAsia="仿宋" w:cs="仿宋"/>
                <w:i w:val="0"/>
                <w:iCs w:val="0"/>
                <w:color w:val="000000"/>
                <w:kern w:val="0"/>
                <w:sz w:val="24"/>
                <w:szCs w:val="24"/>
                <w:u w:val="none"/>
                <w:lang w:val="en-US" w:eastAsia="zh-CN" w:bidi="ar"/>
              </w:rPr>
              <w:t>研究方向分散，未形成托幼一体化等特色科研集群</w:t>
            </w:r>
          </w:p>
        </w:tc>
        <w:tc>
          <w:tcPr>
            <w:tcW w:w="4701" w:type="dxa"/>
            <w:vAlign w:val="center"/>
          </w:tcPr>
          <w:p w14:paraId="01164A6A">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聚焦“托幼一体化”“融合教育”组建跨专业科研团队，明确年度目标与考核</w:t>
            </w:r>
          </w:p>
        </w:tc>
      </w:tr>
      <w:tr w14:paraId="6FCA6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2BFFB6A5">
            <w:pPr>
              <w:jc w:val="center"/>
              <w:rPr>
                <w:rFonts w:hint="eastAsia" w:ascii="仿宋" w:hAnsi="仿宋" w:eastAsia="仿宋" w:cs="仿宋"/>
                <w:sz w:val="24"/>
              </w:rPr>
            </w:pPr>
          </w:p>
        </w:tc>
        <w:tc>
          <w:tcPr>
            <w:tcW w:w="2769" w:type="dxa"/>
            <w:vMerge w:val="restart"/>
            <w:vAlign w:val="center"/>
          </w:tcPr>
          <w:p w14:paraId="6DE347CA">
            <w:pPr>
              <w:snapToGrid w:val="0"/>
              <w:jc w:val="left"/>
              <w:rPr>
                <w:rFonts w:hint="eastAsia" w:ascii="仿宋" w:hAnsi="仿宋" w:eastAsia="仿宋" w:cs="仿宋"/>
                <w:sz w:val="24"/>
              </w:rPr>
            </w:pPr>
            <w:r>
              <w:rPr>
                <w:rFonts w:hint="eastAsia" w:ascii="仿宋" w:hAnsi="仿宋" w:eastAsia="仿宋" w:cs="仿宋"/>
                <w:sz w:val="24"/>
              </w:rPr>
              <w:t>5.6兼职教师</w:t>
            </w:r>
          </w:p>
        </w:tc>
        <w:tc>
          <w:tcPr>
            <w:tcW w:w="4800" w:type="dxa"/>
            <w:vAlign w:val="center"/>
          </w:tcPr>
          <w:p w14:paraId="4345F204">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1.兼职教师中缺少幼儿园优秀教师</w:t>
            </w:r>
          </w:p>
        </w:tc>
        <w:tc>
          <w:tcPr>
            <w:tcW w:w="4701" w:type="dxa"/>
            <w:vAlign w:val="center"/>
          </w:tcPr>
          <w:p w14:paraId="6D625100">
            <w:pPr>
              <w:jc w:val="left"/>
              <w:rPr>
                <w:rFonts w:hint="eastAsia" w:ascii="仿宋" w:hAnsi="仿宋" w:eastAsia="仿宋" w:cs="仿宋"/>
                <w:sz w:val="24"/>
              </w:rPr>
            </w:pPr>
            <w:r>
              <w:rPr>
                <w:rFonts w:hint="eastAsia" w:ascii="仿宋" w:hAnsi="仿宋" w:eastAsia="仿宋" w:cs="仿宋"/>
                <w:sz w:val="24"/>
              </w:rPr>
              <w:t>挑选幼儿园中优秀教师入课堂</w:t>
            </w:r>
          </w:p>
        </w:tc>
      </w:tr>
      <w:tr w14:paraId="50C86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5A4DF47">
            <w:pPr>
              <w:jc w:val="center"/>
              <w:rPr>
                <w:rFonts w:hint="eastAsia" w:ascii="仿宋" w:hAnsi="仿宋" w:eastAsia="仿宋" w:cs="仿宋"/>
                <w:sz w:val="24"/>
              </w:rPr>
            </w:pPr>
          </w:p>
        </w:tc>
        <w:tc>
          <w:tcPr>
            <w:tcW w:w="2769" w:type="dxa"/>
            <w:vMerge w:val="continue"/>
            <w:vAlign w:val="center"/>
          </w:tcPr>
          <w:p w14:paraId="08E60B68">
            <w:pPr>
              <w:snapToGrid w:val="0"/>
              <w:jc w:val="left"/>
              <w:rPr>
                <w:rFonts w:hint="eastAsia" w:ascii="仿宋" w:hAnsi="仿宋" w:eastAsia="仿宋" w:cs="仿宋"/>
                <w:sz w:val="24"/>
              </w:rPr>
            </w:pPr>
          </w:p>
        </w:tc>
        <w:tc>
          <w:tcPr>
            <w:tcW w:w="4800" w:type="dxa"/>
            <w:vAlign w:val="center"/>
          </w:tcPr>
          <w:p w14:paraId="5F94F8DD">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2.</w:t>
            </w:r>
            <w:r>
              <w:rPr>
                <w:rFonts w:hint="default" w:ascii="仿宋" w:hAnsi="仿宋" w:eastAsia="仿宋" w:cs="仿宋"/>
                <w:i w:val="0"/>
                <w:iCs w:val="0"/>
                <w:color w:val="000000"/>
                <w:kern w:val="0"/>
                <w:sz w:val="24"/>
                <w:szCs w:val="24"/>
                <w:u w:val="none"/>
                <w:lang w:val="en-US" w:eastAsia="zh-CN" w:bidi="ar"/>
              </w:rPr>
              <w:t>兼职教师占比30%，未达35%，高职称仅1人，结构失衡</w:t>
            </w:r>
          </w:p>
        </w:tc>
        <w:tc>
          <w:tcPr>
            <w:tcW w:w="4701" w:type="dxa"/>
            <w:vAlign w:val="center"/>
          </w:tcPr>
          <w:p w14:paraId="76AD8DCF">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制定年度引才计划，高职称专家课时费上浮20%，设立“行业专家工作室”</w:t>
            </w:r>
          </w:p>
        </w:tc>
      </w:tr>
      <w:tr w14:paraId="5BD3B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EC3EFE8">
            <w:pPr>
              <w:jc w:val="center"/>
              <w:rPr>
                <w:rFonts w:hint="eastAsia" w:ascii="仿宋" w:hAnsi="仿宋" w:eastAsia="仿宋" w:cs="仿宋"/>
                <w:sz w:val="24"/>
              </w:rPr>
            </w:pPr>
          </w:p>
        </w:tc>
        <w:tc>
          <w:tcPr>
            <w:tcW w:w="2769" w:type="dxa"/>
            <w:vMerge w:val="continue"/>
            <w:vAlign w:val="center"/>
          </w:tcPr>
          <w:p w14:paraId="672B5104">
            <w:pPr>
              <w:snapToGrid w:val="0"/>
              <w:jc w:val="left"/>
              <w:rPr>
                <w:rFonts w:hint="eastAsia" w:ascii="仿宋" w:hAnsi="仿宋" w:eastAsia="仿宋" w:cs="仿宋"/>
                <w:sz w:val="24"/>
              </w:rPr>
            </w:pPr>
          </w:p>
        </w:tc>
        <w:tc>
          <w:tcPr>
            <w:tcW w:w="4800" w:type="dxa"/>
            <w:vAlign w:val="center"/>
          </w:tcPr>
          <w:p w14:paraId="54FB36E9">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3.</w:t>
            </w:r>
            <w:r>
              <w:rPr>
                <w:rFonts w:hint="default" w:ascii="仿宋" w:hAnsi="仿宋" w:eastAsia="仿宋" w:cs="仿宋"/>
                <w:i w:val="0"/>
                <w:iCs w:val="0"/>
                <w:color w:val="000000"/>
                <w:kern w:val="0"/>
                <w:sz w:val="24"/>
                <w:szCs w:val="24"/>
                <w:u w:val="none"/>
                <w:lang w:val="en-US" w:eastAsia="zh-CN" w:bidi="ar"/>
              </w:rPr>
              <w:t>兼职教师仅参与授课，未参与课程开发、实训设计等核心环节</w:t>
            </w:r>
          </w:p>
        </w:tc>
        <w:tc>
          <w:tcPr>
            <w:tcW w:w="4701" w:type="dxa"/>
            <w:vAlign w:val="center"/>
          </w:tcPr>
          <w:p w14:paraId="07F7AFE3">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建立兼职教师职责清单，要求每学年参与1门课程共建或1项实训设计，纳入续聘考核</w:t>
            </w:r>
          </w:p>
        </w:tc>
      </w:tr>
      <w:tr w14:paraId="12743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3DA5E531">
            <w:pPr>
              <w:jc w:val="center"/>
              <w:rPr>
                <w:rFonts w:hint="eastAsia" w:ascii="仿宋" w:hAnsi="仿宋" w:eastAsia="仿宋" w:cs="仿宋"/>
                <w:sz w:val="24"/>
              </w:rPr>
            </w:pPr>
            <w:r>
              <w:rPr>
                <w:rFonts w:hint="eastAsia" w:ascii="仿宋" w:hAnsi="仿宋" w:eastAsia="仿宋" w:cs="仿宋"/>
                <w:sz w:val="24"/>
              </w:rPr>
              <w:t>6.学生满意度</w:t>
            </w:r>
          </w:p>
        </w:tc>
        <w:tc>
          <w:tcPr>
            <w:tcW w:w="2769" w:type="dxa"/>
            <w:vMerge w:val="restart"/>
            <w:vAlign w:val="center"/>
          </w:tcPr>
          <w:p w14:paraId="20566078">
            <w:pPr>
              <w:snapToGrid w:val="0"/>
              <w:jc w:val="left"/>
              <w:rPr>
                <w:rFonts w:hint="eastAsia" w:ascii="仿宋" w:hAnsi="仿宋" w:eastAsia="仿宋" w:cs="仿宋"/>
                <w:sz w:val="24"/>
              </w:rPr>
            </w:pPr>
            <w:r>
              <w:rPr>
                <w:rFonts w:hint="eastAsia" w:ascii="仿宋" w:hAnsi="仿宋" w:eastAsia="仿宋" w:cs="仿宋"/>
                <w:sz w:val="24"/>
              </w:rPr>
              <w:t>6.1对教学保障的满意度</w:t>
            </w:r>
          </w:p>
        </w:tc>
        <w:tc>
          <w:tcPr>
            <w:tcW w:w="4800" w:type="dxa"/>
            <w:vAlign w:val="center"/>
          </w:tcPr>
          <w:p w14:paraId="2CBFA300">
            <w:pPr>
              <w:widowControl/>
              <w:jc w:val="left"/>
              <w:textAlignment w:val="cente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1.能通过专业介绍会和学生座谈帮助学生理解专业，但形式比较单一，学生理解不够充分</w:t>
            </w:r>
          </w:p>
        </w:tc>
        <w:tc>
          <w:tcPr>
            <w:tcW w:w="4701" w:type="dxa"/>
            <w:vAlign w:val="center"/>
          </w:tcPr>
          <w:p w14:paraId="4EDD14CF">
            <w:pPr>
              <w:jc w:val="left"/>
              <w:rPr>
                <w:rFonts w:hint="eastAsia" w:ascii="仿宋" w:hAnsi="仿宋" w:eastAsia="仿宋" w:cs="仿宋"/>
                <w:sz w:val="24"/>
              </w:rPr>
            </w:pPr>
            <w:r>
              <w:rPr>
                <w:rFonts w:hint="eastAsia" w:ascii="仿宋" w:hAnsi="仿宋" w:eastAsia="仿宋" w:cs="仿宋"/>
                <w:w w:val="78"/>
                <w:sz w:val="24"/>
              </w:rPr>
              <w:t>建议在专业介绍时引入幼儿园视角，让幼儿园的园长或教师参与其中，甚至可以通过播放幼儿园一日生活的录像，让学生对未来从事的职业有一个更加直观的认识。</w:t>
            </w:r>
          </w:p>
        </w:tc>
      </w:tr>
      <w:tr w14:paraId="7473F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AF58697">
            <w:pPr>
              <w:jc w:val="center"/>
              <w:rPr>
                <w:rFonts w:hint="eastAsia" w:ascii="仿宋" w:hAnsi="仿宋" w:eastAsia="仿宋" w:cs="仿宋"/>
                <w:sz w:val="24"/>
              </w:rPr>
            </w:pPr>
          </w:p>
        </w:tc>
        <w:tc>
          <w:tcPr>
            <w:tcW w:w="2769" w:type="dxa"/>
            <w:vMerge w:val="continue"/>
            <w:vAlign w:val="center"/>
          </w:tcPr>
          <w:p w14:paraId="3177FA38">
            <w:pPr>
              <w:snapToGrid w:val="0"/>
              <w:jc w:val="left"/>
              <w:rPr>
                <w:rFonts w:hint="eastAsia" w:ascii="仿宋" w:hAnsi="仿宋" w:eastAsia="仿宋" w:cs="仿宋"/>
                <w:sz w:val="24"/>
              </w:rPr>
            </w:pPr>
          </w:p>
        </w:tc>
        <w:tc>
          <w:tcPr>
            <w:tcW w:w="4800" w:type="dxa"/>
            <w:vAlign w:val="center"/>
          </w:tcPr>
          <w:p w14:paraId="6F6C513C">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2.</w:t>
            </w:r>
            <w:r>
              <w:rPr>
                <w:rFonts w:hint="default" w:ascii="仿宋" w:hAnsi="仿宋" w:eastAsia="仿宋" w:cs="仿宋"/>
                <w:i w:val="0"/>
                <w:iCs w:val="0"/>
                <w:color w:val="000000"/>
                <w:kern w:val="0"/>
                <w:sz w:val="24"/>
                <w:szCs w:val="24"/>
                <w:u w:val="none"/>
                <w:lang w:val="en-US" w:eastAsia="zh-CN" w:bidi="ar"/>
              </w:rPr>
              <w:t>满意度调研依赖座谈会，样本量小，未覆盖实习年级</w:t>
            </w:r>
          </w:p>
        </w:tc>
        <w:tc>
          <w:tcPr>
            <w:tcW w:w="4701" w:type="dxa"/>
            <w:vAlign w:val="center"/>
          </w:tcPr>
          <w:p w14:paraId="6D2F36CD">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每学期线上问卷覆盖所有年级，样本≥30%，用SPSS生成差异分析报告</w:t>
            </w:r>
          </w:p>
        </w:tc>
      </w:tr>
      <w:tr w14:paraId="2289A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746F0410">
            <w:pPr>
              <w:jc w:val="center"/>
              <w:rPr>
                <w:rFonts w:hint="eastAsia" w:ascii="仿宋" w:hAnsi="仿宋" w:eastAsia="仿宋" w:cs="仿宋"/>
                <w:sz w:val="24"/>
              </w:rPr>
            </w:pPr>
          </w:p>
        </w:tc>
        <w:tc>
          <w:tcPr>
            <w:tcW w:w="2769" w:type="dxa"/>
            <w:vMerge w:val="continue"/>
            <w:vAlign w:val="center"/>
          </w:tcPr>
          <w:p w14:paraId="1F795A44">
            <w:pPr>
              <w:snapToGrid w:val="0"/>
              <w:jc w:val="left"/>
              <w:rPr>
                <w:rFonts w:hint="eastAsia" w:ascii="仿宋" w:hAnsi="仿宋" w:eastAsia="仿宋" w:cs="仿宋"/>
                <w:sz w:val="24"/>
              </w:rPr>
            </w:pPr>
          </w:p>
        </w:tc>
        <w:tc>
          <w:tcPr>
            <w:tcW w:w="4800" w:type="dxa"/>
            <w:vAlign w:val="center"/>
          </w:tcPr>
          <w:p w14:paraId="4293E6ED">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3.</w:t>
            </w:r>
            <w:r>
              <w:rPr>
                <w:rFonts w:hint="default" w:ascii="仿宋" w:hAnsi="仿宋" w:eastAsia="仿宋" w:cs="仿宋"/>
                <w:i w:val="0"/>
                <w:iCs w:val="0"/>
                <w:color w:val="000000"/>
                <w:kern w:val="0"/>
                <w:sz w:val="24"/>
                <w:szCs w:val="24"/>
                <w:u w:val="none"/>
                <w:lang w:val="en-US" w:eastAsia="zh-CN" w:bidi="ar"/>
              </w:rPr>
              <w:t>学生对人才培养方案细节（学分构成、课程逻辑）认知度低于50%</w:t>
            </w:r>
          </w:p>
        </w:tc>
        <w:tc>
          <w:tcPr>
            <w:tcW w:w="4701" w:type="dxa"/>
            <w:vAlign w:val="center"/>
          </w:tcPr>
          <w:p w14:paraId="401378BD">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新生入学教育增加“方案解读”测试，未达标者安排补学，成绩纳入学籍档案</w:t>
            </w:r>
          </w:p>
        </w:tc>
      </w:tr>
      <w:tr w14:paraId="5E3DF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C368277">
            <w:pPr>
              <w:jc w:val="center"/>
              <w:rPr>
                <w:rFonts w:hint="eastAsia" w:ascii="仿宋" w:hAnsi="仿宋" w:eastAsia="仿宋" w:cs="仿宋"/>
                <w:sz w:val="24"/>
              </w:rPr>
            </w:pPr>
          </w:p>
        </w:tc>
        <w:tc>
          <w:tcPr>
            <w:tcW w:w="2769" w:type="dxa"/>
            <w:vMerge w:val="restart"/>
            <w:vAlign w:val="center"/>
          </w:tcPr>
          <w:p w14:paraId="6FBDF491">
            <w:pPr>
              <w:snapToGrid w:val="0"/>
              <w:jc w:val="left"/>
              <w:rPr>
                <w:rFonts w:hint="eastAsia" w:ascii="仿宋" w:hAnsi="仿宋" w:eastAsia="仿宋" w:cs="仿宋"/>
                <w:sz w:val="24"/>
              </w:rPr>
            </w:pPr>
            <w:r>
              <w:rPr>
                <w:rFonts w:hint="eastAsia" w:ascii="仿宋" w:hAnsi="仿宋" w:eastAsia="仿宋" w:cs="仿宋"/>
                <w:sz w:val="24"/>
              </w:rPr>
              <w:t>6.2毕业生满意度</w:t>
            </w:r>
          </w:p>
        </w:tc>
        <w:tc>
          <w:tcPr>
            <w:tcW w:w="4800" w:type="dxa"/>
            <w:vAlign w:val="center"/>
          </w:tcPr>
          <w:p w14:paraId="655C550F">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1.</w:t>
            </w:r>
            <w:r>
              <w:rPr>
                <w:rFonts w:ascii="仿宋" w:hAnsi="仿宋" w:eastAsia="仿宋" w:cs="仿宋"/>
                <w:color w:val="000000"/>
                <w:kern w:val="0"/>
                <w:sz w:val="24"/>
                <w:lang w:bidi="ar"/>
              </w:rPr>
              <w:t>毕业生工作能力及毕业生核心知识满足度</w:t>
            </w:r>
            <w:r>
              <w:rPr>
                <w:rFonts w:hint="eastAsia" w:ascii="仿宋" w:hAnsi="仿宋" w:eastAsia="仿宋" w:cs="仿宋"/>
                <w:color w:val="000000"/>
                <w:kern w:val="0"/>
                <w:sz w:val="24"/>
                <w:lang w:bidi="ar"/>
              </w:rPr>
              <w:t>表述比较笼统</w:t>
            </w:r>
          </w:p>
        </w:tc>
        <w:tc>
          <w:tcPr>
            <w:tcW w:w="4701" w:type="dxa"/>
            <w:vAlign w:val="center"/>
          </w:tcPr>
          <w:p w14:paraId="2238205B">
            <w:pPr>
              <w:jc w:val="left"/>
              <w:rPr>
                <w:rFonts w:hint="eastAsia" w:ascii="仿宋" w:hAnsi="仿宋" w:eastAsia="仿宋" w:cs="仿宋"/>
                <w:sz w:val="24"/>
              </w:rPr>
            </w:pPr>
            <w:r>
              <w:rPr>
                <w:rFonts w:hint="eastAsia" w:ascii="仿宋" w:hAnsi="仿宋" w:eastAsia="仿宋" w:cs="仿宋"/>
                <w:sz w:val="24"/>
              </w:rPr>
              <w:t>运用具体的数据或分模块表述</w:t>
            </w:r>
          </w:p>
        </w:tc>
      </w:tr>
      <w:tr w14:paraId="03525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339DFAD5">
            <w:pPr>
              <w:jc w:val="center"/>
              <w:rPr>
                <w:rFonts w:hint="eastAsia" w:ascii="仿宋" w:hAnsi="仿宋" w:eastAsia="仿宋" w:cs="仿宋"/>
                <w:sz w:val="24"/>
              </w:rPr>
            </w:pPr>
          </w:p>
        </w:tc>
        <w:tc>
          <w:tcPr>
            <w:tcW w:w="2769" w:type="dxa"/>
            <w:vMerge w:val="continue"/>
            <w:vAlign w:val="center"/>
          </w:tcPr>
          <w:p w14:paraId="444D81D8">
            <w:pPr>
              <w:snapToGrid w:val="0"/>
              <w:jc w:val="left"/>
              <w:rPr>
                <w:rFonts w:hint="eastAsia" w:ascii="仿宋" w:hAnsi="仿宋" w:eastAsia="仿宋" w:cs="仿宋"/>
                <w:sz w:val="24"/>
              </w:rPr>
            </w:pPr>
          </w:p>
        </w:tc>
        <w:tc>
          <w:tcPr>
            <w:tcW w:w="4800" w:type="dxa"/>
            <w:vAlign w:val="center"/>
          </w:tcPr>
          <w:p w14:paraId="50245D89">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2.</w:t>
            </w:r>
            <w:r>
              <w:rPr>
                <w:rFonts w:hint="default" w:ascii="仿宋" w:hAnsi="仿宋" w:eastAsia="仿宋" w:cs="仿宋"/>
                <w:i w:val="0"/>
                <w:iCs w:val="0"/>
                <w:color w:val="000000"/>
                <w:kern w:val="0"/>
                <w:sz w:val="24"/>
                <w:szCs w:val="24"/>
                <w:u w:val="none"/>
                <w:lang w:val="en-US" w:eastAsia="zh-CN" w:bidi="ar"/>
              </w:rPr>
              <w:t>未开展毕业生主观满意度调查，仅用用人单位反馈替代</w:t>
            </w:r>
          </w:p>
        </w:tc>
        <w:tc>
          <w:tcPr>
            <w:tcW w:w="4701" w:type="dxa"/>
            <w:vAlign w:val="center"/>
          </w:tcPr>
          <w:p w14:paraId="151392BC">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建立毕业后1年、2年两次追踪，问卷涵盖岗位适配、知识缺口、薪资增长等维度</w:t>
            </w:r>
          </w:p>
        </w:tc>
      </w:tr>
      <w:tr w14:paraId="12085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26E63AD9">
            <w:pPr>
              <w:jc w:val="center"/>
              <w:rPr>
                <w:rFonts w:hint="eastAsia" w:ascii="仿宋" w:hAnsi="仿宋" w:eastAsia="仿宋" w:cs="仿宋"/>
                <w:sz w:val="24"/>
              </w:rPr>
            </w:pPr>
          </w:p>
        </w:tc>
        <w:tc>
          <w:tcPr>
            <w:tcW w:w="2769" w:type="dxa"/>
            <w:vMerge w:val="continue"/>
            <w:vAlign w:val="center"/>
          </w:tcPr>
          <w:p w14:paraId="18749538">
            <w:pPr>
              <w:snapToGrid w:val="0"/>
              <w:jc w:val="left"/>
              <w:rPr>
                <w:rFonts w:hint="eastAsia" w:ascii="仿宋" w:hAnsi="仿宋" w:eastAsia="仿宋" w:cs="仿宋"/>
                <w:sz w:val="24"/>
              </w:rPr>
            </w:pPr>
          </w:p>
        </w:tc>
        <w:tc>
          <w:tcPr>
            <w:tcW w:w="4800" w:type="dxa"/>
            <w:vAlign w:val="center"/>
          </w:tcPr>
          <w:p w14:paraId="530744B9">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3.</w:t>
            </w:r>
            <w:r>
              <w:rPr>
                <w:rFonts w:hint="default" w:ascii="仿宋" w:hAnsi="仿宋" w:eastAsia="仿宋" w:cs="仿宋"/>
                <w:i w:val="0"/>
                <w:iCs w:val="0"/>
                <w:color w:val="000000"/>
                <w:kern w:val="0"/>
                <w:sz w:val="24"/>
                <w:szCs w:val="24"/>
                <w:u w:val="none"/>
                <w:lang w:val="en-US" w:eastAsia="zh-CN" w:bidi="ar"/>
              </w:rPr>
              <w:t>毕业生核心知识满足度数据缺失，无法量化分析</w:t>
            </w:r>
          </w:p>
        </w:tc>
        <w:tc>
          <w:tcPr>
            <w:tcW w:w="4701" w:type="dxa"/>
            <w:vAlign w:val="center"/>
          </w:tcPr>
          <w:p w14:paraId="18516B7E">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设计“核心知识满足度量表”，采用李克特五级评分，量化后与用人单位数据交叉验证</w:t>
            </w:r>
          </w:p>
        </w:tc>
      </w:tr>
      <w:tr w14:paraId="0A977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1A217534">
            <w:pPr>
              <w:jc w:val="center"/>
              <w:rPr>
                <w:rFonts w:hint="eastAsia" w:ascii="仿宋" w:hAnsi="仿宋" w:eastAsia="仿宋" w:cs="仿宋"/>
                <w:sz w:val="24"/>
              </w:rPr>
            </w:pPr>
            <w:r>
              <w:rPr>
                <w:rFonts w:hint="eastAsia" w:ascii="仿宋" w:hAnsi="仿宋" w:eastAsia="仿宋" w:cs="仿宋"/>
                <w:sz w:val="24"/>
              </w:rPr>
              <w:t>7.人才培养质量</w:t>
            </w:r>
          </w:p>
        </w:tc>
        <w:tc>
          <w:tcPr>
            <w:tcW w:w="2769" w:type="dxa"/>
            <w:vMerge w:val="restart"/>
            <w:vAlign w:val="center"/>
          </w:tcPr>
          <w:p w14:paraId="109A0643">
            <w:pPr>
              <w:snapToGrid w:val="0"/>
              <w:jc w:val="left"/>
              <w:rPr>
                <w:rFonts w:hint="eastAsia" w:ascii="仿宋" w:hAnsi="仿宋" w:eastAsia="仿宋" w:cs="仿宋"/>
                <w:sz w:val="24"/>
              </w:rPr>
            </w:pPr>
            <w:r>
              <w:rPr>
                <w:rFonts w:hint="eastAsia" w:ascii="仿宋" w:hAnsi="仿宋" w:eastAsia="仿宋" w:cs="仿宋"/>
                <w:sz w:val="24"/>
              </w:rPr>
              <w:t>7.1用人单位满意度</w:t>
            </w:r>
          </w:p>
        </w:tc>
        <w:tc>
          <w:tcPr>
            <w:tcW w:w="4800" w:type="dxa"/>
            <w:vAlign w:val="center"/>
          </w:tcPr>
          <w:p w14:paraId="7FEEFEEB">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1.从数据上看，用人单位是满意的</w:t>
            </w:r>
          </w:p>
        </w:tc>
        <w:tc>
          <w:tcPr>
            <w:tcW w:w="4701" w:type="dxa"/>
            <w:vAlign w:val="center"/>
          </w:tcPr>
          <w:p w14:paraId="0EB6819F">
            <w:pPr>
              <w:jc w:val="left"/>
              <w:rPr>
                <w:rFonts w:hint="eastAsia" w:ascii="仿宋" w:hAnsi="仿宋" w:eastAsia="仿宋" w:cs="仿宋"/>
                <w:sz w:val="24"/>
              </w:rPr>
            </w:pPr>
          </w:p>
        </w:tc>
      </w:tr>
      <w:tr w14:paraId="30FE1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E24D704">
            <w:pPr>
              <w:jc w:val="center"/>
              <w:rPr>
                <w:rFonts w:hint="eastAsia" w:ascii="仿宋" w:hAnsi="仿宋" w:eastAsia="仿宋" w:cs="仿宋"/>
                <w:sz w:val="24"/>
              </w:rPr>
            </w:pPr>
          </w:p>
        </w:tc>
        <w:tc>
          <w:tcPr>
            <w:tcW w:w="2769" w:type="dxa"/>
            <w:vMerge w:val="continue"/>
            <w:vAlign w:val="center"/>
          </w:tcPr>
          <w:p w14:paraId="3DCB84F2">
            <w:pPr>
              <w:snapToGrid w:val="0"/>
              <w:jc w:val="left"/>
              <w:rPr>
                <w:rFonts w:hint="eastAsia" w:ascii="仿宋" w:hAnsi="仿宋" w:eastAsia="仿宋" w:cs="仿宋"/>
                <w:sz w:val="24"/>
              </w:rPr>
            </w:pPr>
          </w:p>
        </w:tc>
        <w:tc>
          <w:tcPr>
            <w:tcW w:w="4800" w:type="dxa"/>
            <w:vAlign w:val="center"/>
          </w:tcPr>
          <w:p w14:paraId="6BE4F9CD">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2.</w:t>
            </w:r>
            <w:r>
              <w:rPr>
                <w:rFonts w:hint="default" w:ascii="仿宋" w:hAnsi="仿宋" w:eastAsia="仿宋" w:cs="仿宋"/>
                <w:i w:val="0"/>
                <w:iCs w:val="0"/>
                <w:color w:val="000000"/>
                <w:kern w:val="0"/>
                <w:sz w:val="24"/>
                <w:szCs w:val="24"/>
                <w:u w:val="none"/>
                <w:lang w:val="en-US" w:eastAsia="zh-CN" w:bidi="ar"/>
              </w:rPr>
              <w:t>毕业生独立工作与组织协调能力得分波动大，2024届下降明显</w:t>
            </w:r>
          </w:p>
        </w:tc>
        <w:tc>
          <w:tcPr>
            <w:tcW w:w="4701" w:type="dxa"/>
            <w:vAlign w:val="center"/>
          </w:tcPr>
          <w:p w14:paraId="37B95D29">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联合园所开发“班级管理+活动组织”岗位模拟实训模块，纳入毕业标准</w:t>
            </w:r>
          </w:p>
        </w:tc>
      </w:tr>
      <w:tr w14:paraId="39A64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43071A81">
            <w:pPr>
              <w:jc w:val="center"/>
              <w:rPr>
                <w:rFonts w:hint="eastAsia" w:ascii="仿宋" w:hAnsi="仿宋" w:eastAsia="仿宋" w:cs="仿宋"/>
                <w:sz w:val="24"/>
              </w:rPr>
            </w:pPr>
          </w:p>
        </w:tc>
        <w:tc>
          <w:tcPr>
            <w:tcW w:w="2769" w:type="dxa"/>
            <w:vMerge w:val="restart"/>
            <w:vAlign w:val="center"/>
          </w:tcPr>
          <w:p w14:paraId="39AEDE77">
            <w:pPr>
              <w:snapToGrid w:val="0"/>
              <w:jc w:val="left"/>
              <w:rPr>
                <w:rFonts w:hint="eastAsia" w:ascii="仿宋" w:hAnsi="仿宋" w:eastAsia="仿宋" w:cs="仿宋"/>
                <w:sz w:val="24"/>
              </w:rPr>
            </w:pPr>
            <w:r>
              <w:rPr>
                <w:rFonts w:hint="eastAsia" w:ascii="仿宋" w:hAnsi="仿宋" w:eastAsia="仿宋" w:cs="仿宋"/>
                <w:sz w:val="24"/>
              </w:rPr>
              <w:t>7.2就业状况</w:t>
            </w:r>
          </w:p>
        </w:tc>
        <w:tc>
          <w:tcPr>
            <w:tcW w:w="4800" w:type="dxa"/>
            <w:vAlign w:val="center"/>
          </w:tcPr>
          <w:p w14:paraId="04994CAE">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1.关注了就业率和对口率，缺少持续关注学生在岗位上持续发展的状况</w:t>
            </w:r>
          </w:p>
        </w:tc>
        <w:tc>
          <w:tcPr>
            <w:tcW w:w="4701" w:type="dxa"/>
            <w:vAlign w:val="center"/>
          </w:tcPr>
          <w:p w14:paraId="081F73B3">
            <w:pPr>
              <w:jc w:val="left"/>
              <w:rPr>
                <w:rFonts w:hint="eastAsia" w:ascii="仿宋" w:hAnsi="仿宋" w:eastAsia="仿宋" w:cs="仿宋"/>
                <w:sz w:val="24"/>
              </w:rPr>
            </w:pPr>
            <w:r>
              <w:rPr>
                <w:rFonts w:hint="eastAsia" w:ascii="仿宋" w:hAnsi="仿宋" w:eastAsia="仿宋" w:cs="仿宋"/>
                <w:sz w:val="24"/>
              </w:rPr>
              <w:t>持续跟踪数据</w:t>
            </w:r>
          </w:p>
        </w:tc>
      </w:tr>
      <w:tr w14:paraId="51049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1FCFCB2">
            <w:pPr>
              <w:jc w:val="center"/>
              <w:rPr>
                <w:rFonts w:hint="eastAsia" w:ascii="仿宋" w:hAnsi="仿宋" w:eastAsia="仿宋" w:cs="仿宋"/>
                <w:sz w:val="24"/>
              </w:rPr>
            </w:pPr>
          </w:p>
        </w:tc>
        <w:tc>
          <w:tcPr>
            <w:tcW w:w="2769" w:type="dxa"/>
            <w:vMerge w:val="continue"/>
            <w:vAlign w:val="center"/>
          </w:tcPr>
          <w:p w14:paraId="4AF1ADDF">
            <w:pPr>
              <w:snapToGrid w:val="0"/>
              <w:jc w:val="left"/>
              <w:rPr>
                <w:rFonts w:hint="eastAsia" w:ascii="仿宋" w:hAnsi="仿宋" w:eastAsia="仿宋" w:cs="仿宋"/>
                <w:sz w:val="24"/>
              </w:rPr>
            </w:pPr>
          </w:p>
        </w:tc>
        <w:tc>
          <w:tcPr>
            <w:tcW w:w="4800" w:type="dxa"/>
            <w:vAlign w:val="center"/>
          </w:tcPr>
          <w:p w14:paraId="5467C5D4">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2.</w:t>
            </w:r>
            <w:r>
              <w:rPr>
                <w:rFonts w:hint="default" w:ascii="仿宋" w:hAnsi="仿宋" w:eastAsia="仿宋" w:cs="仿宋"/>
                <w:i w:val="0"/>
                <w:iCs w:val="0"/>
                <w:color w:val="000000"/>
                <w:kern w:val="0"/>
                <w:sz w:val="24"/>
                <w:szCs w:val="24"/>
                <w:u w:val="none"/>
                <w:lang w:val="en-US" w:eastAsia="zh-CN" w:bidi="ar"/>
              </w:rPr>
              <w:t>专业对口率最高77.5%，未达80%，且半年后就业数据缺失</w:t>
            </w:r>
          </w:p>
        </w:tc>
        <w:tc>
          <w:tcPr>
            <w:tcW w:w="4701" w:type="dxa"/>
            <w:vAlign w:val="center"/>
          </w:tcPr>
          <w:p w14:paraId="66949B69">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2025级起开设托育、融合教育方向，建立“半年后就业”专项追踪系统</w:t>
            </w:r>
          </w:p>
        </w:tc>
      </w:tr>
      <w:tr w14:paraId="70E3F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215F594A">
            <w:pPr>
              <w:jc w:val="center"/>
              <w:rPr>
                <w:rFonts w:hint="eastAsia" w:ascii="仿宋" w:hAnsi="仿宋" w:eastAsia="仿宋" w:cs="仿宋"/>
                <w:sz w:val="24"/>
              </w:rPr>
            </w:pPr>
          </w:p>
        </w:tc>
        <w:tc>
          <w:tcPr>
            <w:tcW w:w="2769" w:type="dxa"/>
            <w:vMerge w:val="continue"/>
            <w:vAlign w:val="center"/>
          </w:tcPr>
          <w:p w14:paraId="42D57781">
            <w:pPr>
              <w:snapToGrid w:val="0"/>
              <w:jc w:val="left"/>
              <w:rPr>
                <w:rFonts w:hint="eastAsia" w:ascii="仿宋" w:hAnsi="仿宋" w:eastAsia="仿宋" w:cs="仿宋"/>
                <w:sz w:val="24"/>
              </w:rPr>
            </w:pPr>
          </w:p>
        </w:tc>
        <w:tc>
          <w:tcPr>
            <w:tcW w:w="4800" w:type="dxa"/>
            <w:vAlign w:val="center"/>
          </w:tcPr>
          <w:p w14:paraId="39AA4A41">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3.</w:t>
            </w:r>
            <w:r>
              <w:rPr>
                <w:rFonts w:hint="default" w:ascii="仿宋" w:hAnsi="仿宋" w:eastAsia="仿宋" w:cs="仿宋"/>
                <w:i w:val="0"/>
                <w:iCs w:val="0"/>
                <w:color w:val="000000"/>
                <w:kern w:val="0"/>
                <w:sz w:val="24"/>
                <w:szCs w:val="24"/>
                <w:u w:val="none"/>
                <w:lang w:val="en-US" w:eastAsia="zh-CN" w:bidi="ar"/>
              </w:rPr>
              <w:t>毕业生薪资、职位晋升数据未采集，就业质量无法评估</w:t>
            </w:r>
          </w:p>
        </w:tc>
        <w:tc>
          <w:tcPr>
            <w:tcW w:w="4701" w:type="dxa"/>
            <w:vAlign w:val="center"/>
          </w:tcPr>
          <w:p w14:paraId="739DD80D">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在毕业6个月、12个月两次发放问卷，收集薪资、晋升、岗位适配度数据</w:t>
            </w:r>
          </w:p>
        </w:tc>
      </w:tr>
      <w:tr w14:paraId="73F00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41A09BD">
            <w:pPr>
              <w:jc w:val="center"/>
              <w:rPr>
                <w:rFonts w:hint="eastAsia" w:ascii="仿宋" w:hAnsi="仿宋" w:eastAsia="仿宋" w:cs="仿宋"/>
                <w:sz w:val="24"/>
              </w:rPr>
            </w:pPr>
          </w:p>
        </w:tc>
        <w:tc>
          <w:tcPr>
            <w:tcW w:w="2769" w:type="dxa"/>
            <w:vMerge w:val="restart"/>
            <w:vAlign w:val="center"/>
          </w:tcPr>
          <w:p w14:paraId="674EF2A2">
            <w:pPr>
              <w:snapToGrid w:val="0"/>
              <w:jc w:val="left"/>
              <w:rPr>
                <w:rFonts w:hint="eastAsia" w:ascii="仿宋" w:hAnsi="仿宋" w:eastAsia="仿宋" w:cs="仿宋"/>
                <w:sz w:val="24"/>
              </w:rPr>
            </w:pPr>
            <w:r>
              <w:rPr>
                <w:rFonts w:hint="eastAsia" w:ascii="仿宋" w:hAnsi="仿宋" w:eastAsia="仿宋" w:cs="仿宋"/>
                <w:sz w:val="24"/>
              </w:rPr>
              <w:t>7.3学生技能水平</w:t>
            </w:r>
          </w:p>
        </w:tc>
        <w:tc>
          <w:tcPr>
            <w:tcW w:w="4800" w:type="dxa"/>
            <w:vAlign w:val="center"/>
          </w:tcPr>
          <w:p w14:paraId="5ABF15A1">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1.参赛获奖可以更多元</w:t>
            </w:r>
          </w:p>
        </w:tc>
        <w:tc>
          <w:tcPr>
            <w:tcW w:w="4701" w:type="dxa"/>
            <w:vAlign w:val="center"/>
          </w:tcPr>
          <w:p w14:paraId="6FADA717">
            <w:pPr>
              <w:jc w:val="left"/>
              <w:rPr>
                <w:rFonts w:hint="eastAsia" w:ascii="仿宋" w:hAnsi="仿宋" w:eastAsia="仿宋" w:cs="仿宋"/>
                <w:sz w:val="24"/>
              </w:rPr>
            </w:pPr>
            <w:r>
              <w:rPr>
                <w:rFonts w:hint="eastAsia" w:ascii="仿宋" w:hAnsi="仿宋" w:eastAsia="仿宋" w:cs="仿宋"/>
                <w:sz w:val="24"/>
              </w:rPr>
              <w:t>挖掘不同的赛道，鼓励学生参赛</w:t>
            </w:r>
          </w:p>
        </w:tc>
      </w:tr>
      <w:tr w14:paraId="59CCF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1FD1E94">
            <w:pPr>
              <w:jc w:val="center"/>
              <w:rPr>
                <w:rFonts w:hint="eastAsia" w:ascii="仿宋" w:hAnsi="仿宋" w:eastAsia="仿宋" w:cs="仿宋"/>
                <w:sz w:val="24"/>
              </w:rPr>
            </w:pPr>
          </w:p>
        </w:tc>
        <w:tc>
          <w:tcPr>
            <w:tcW w:w="2769" w:type="dxa"/>
            <w:vMerge w:val="continue"/>
            <w:vAlign w:val="center"/>
          </w:tcPr>
          <w:p w14:paraId="73947C7E">
            <w:pPr>
              <w:snapToGrid w:val="0"/>
              <w:jc w:val="left"/>
              <w:rPr>
                <w:rFonts w:hint="eastAsia" w:ascii="仿宋" w:hAnsi="仿宋" w:eastAsia="仿宋" w:cs="仿宋"/>
                <w:sz w:val="24"/>
              </w:rPr>
            </w:pPr>
          </w:p>
        </w:tc>
        <w:tc>
          <w:tcPr>
            <w:tcW w:w="4800" w:type="dxa"/>
            <w:vAlign w:val="center"/>
          </w:tcPr>
          <w:p w14:paraId="14D247CD">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2.</w:t>
            </w:r>
            <w:r>
              <w:rPr>
                <w:rFonts w:hint="default" w:ascii="仿宋" w:hAnsi="仿宋" w:eastAsia="仿宋" w:cs="仿宋"/>
                <w:i w:val="0"/>
                <w:iCs w:val="0"/>
                <w:color w:val="000000"/>
                <w:kern w:val="0"/>
                <w:sz w:val="24"/>
                <w:szCs w:val="24"/>
                <w:u w:val="none"/>
                <w:lang w:val="en-US" w:eastAsia="zh-CN" w:bidi="ar"/>
              </w:rPr>
              <w:t>省级创新创业大赛参与率为0，缺乏竞赛体系</w:t>
            </w:r>
          </w:p>
        </w:tc>
        <w:tc>
          <w:tcPr>
            <w:tcW w:w="4701" w:type="dxa"/>
            <w:vAlign w:val="center"/>
          </w:tcPr>
          <w:p w14:paraId="0D4A21E5">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组建“专业+企业”双创导师团，每年举办校赛并推荐优秀项目参加省赛</w:t>
            </w:r>
          </w:p>
        </w:tc>
      </w:tr>
      <w:tr w14:paraId="1A509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28CDA736">
            <w:pPr>
              <w:jc w:val="center"/>
              <w:rPr>
                <w:rFonts w:hint="eastAsia" w:ascii="仿宋" w:hAnsi="仿宋" w:eastAsia="仿宋" w:cs="仿宋"/>
                <w:sz w:val="24"/>
              </w:rPr>
            </w:pPr>
          </w:p>
        </w:tc>
        <w:tc>
          <w:tcPr>
            <w:tcW w:w="2769" w:type="dxa"/>
            <w:vMerge w:val="continue"/>
            <w:vAlign w:val="center"/>
          </w:tcPr>
          <w:p w14:paraId="33483BC6">
            <w:pPr>
              <w:snapToGrid w:val="0"/>
              <w:jc w:val="left"/>
              <w:rPr>
                <w:rFonts w:hint="eastAsia" w:ascii="仿宋" w:hAnsi="仿宋" w:eastAsia="仿宋" w:cs="仿宋"/>
                <w:sz w:val="24"/>
              </w:rPr>
            </w:pPr>
          </w:p>
        </w:tc>
        <w:tc>
          <w:tcPr>
            <w:tcW w:w="4800" w:type="dxa"/>
            <w:vAlign w:val="center"/>
          </w:tcPr>
          <w:p w14:paraId="54CBF5A2">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3.</w:t>
            </w:r>
            <w:r>
              <w:rPr>
                <w:rFonts w:hint="default" w:ascii="仿宋" w:hAnsi="仿宋" w:eastAsia="仿宋" w:cs="仿宋"/>
                <w:i w:val="0"/>
                <w:iCs w:val="0"/>
                <w:color w:val="000000"/>
                <w:kern w:val="0"/>
                <w:sz w:val="24"/>
                <w:szCs w:val="24"/>
                <w:u w:val="none"/>
                <w:lang w:val="en-US" w:eastAsia="zh-CN" w:bidi="ar"/>
              </w:rPr>
              <w:t>教师资格证通过率徘徊80%，未与课程深度绑定</w:t>
            </w:r>
          </w:p>
        </w:tc>
        <w:tc>
          <w:tcPr>
            <w:tcW w:w="4701" w:type="dxa"/>
            <w:vAlign w:val="center"/>
          </w:tcPr>
          <w:p w14:paraId="6C37D672">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将教资考点拆解到课程教案，每学期开展“教资模拟考”</w:t>
            </w:r>
          </w:p>
        </w:tc>
      </w:tr>
      <w:tr w14:paraId="0F0F6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3FE6D68E">
            <w:pPr>
              <w:jc w:val="center"/>
              <w:rPr>
                <w:rFonts w:hint="eastAsia" w:ascii="仿宋" w:hAnsi="仿宋" w:eastAsia="仿宋" w:cs="仿宋"/>
                <w:sz w:val="24"/>
              </w:rPr>
            </w:pPr>
            <w:r>
              <w:rPr>
                <w:rFonts w:hint="eastAsia" w:ascii="仿宋" w:hAnsi="仿宋" w:eastAsia="仿宋" w:cs="仿宋"/>
                <w:sz w:val="24"/>
              </w:rPr>
              <w:t>8.校企（医）合作与社会服务</w:t>
            </w:r>
          </w:p>
        </w:tc>
        <w:tc>
          <w:tcPr>
            <w:tcW w:w="2769" w:type="dxa"/>
            <w:vMerge w:val="restart"/>
            <w:vAlign w:val="center"/>
          </w:tcPr>
          <w:p w14:paraId="15C1CB7F">
            <w:pPr>
              <w:snapToGrid w:val="0"/>
              <w:jc w:val="left"/>
              <w:rPr>
                <w:rFonts w:hint="eastAsia" w:ascii="仿宋" w:hAnsi="仿宋" w:eastAsia="仿宋" w:cs="仿宋"/>
                <w:sz w:val="24"/>
              </w:rPr>
            </w:pPr>
            <w:r>
              <w:rPr>
                <w:rFonts w:hint="eastAsia" w:ascii="仿宋" w:hAnsi="仿宋" w:eastAsia="仿宋" w:cs="仿宋"/>
                <w:sz w:val="24"/>
              </w:rPr>
              <w:t>8.1校企合作</w:t>
            </w:r>
          </w:p>
        </w:tc>
        <w:tc>
          <w:tcPr>
            <w:tcW w:w="4800" w:type="dxa"/>
            <w:vAlign w:val="center"/>
          </w:tcPr>
          <w:p w14:paraId="46A88CAC">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1.校企合作更多体现在学生的见习实习，较为单一</w:t>
            </w:r>
            <w:r>
              <w:rPr>
                <w:rFonts w:hint="eastAsia" w:ascii="仿宋" w:hAnsi="仿宋" w:eastAsia="仿宋" w:cs="仿宋"/>
                <w:sz w:val="24"/>
              </w:rPr>
              <w:t xml:space="preserve"> </w:t>
            </w:r>
          </w:p>
        </w:tc>
        <w:tc>
          <w:tcPr>
            <w:tcW w:w="4701" w:type="dxa"/>
            <w:vAlign w:val="center"/>
          </w:tcPr>
          <w:p w14:paraId="4B296B8A">
            <w:pPr>
              <w:jc w:val="left"/>
              <w:rPr>
                <w:rFonts w:hint="eastAsia" w:ascii="仿宋" w:hAnsi="仿宋" w:eastAsia="仿宋" w:cs="仿宋"/>
                <w:sz w:val="24"/>
              </w:rPr>
            </w:pPr>
            <w:r>
              <w:rPr>
                <w:rFonts w:hint="eastAsia" w:ascii="仿宋" w:hAnsi="仿宋" w:eastAsia="仿宋" w:cs="仿宋"/>
                <w:sz w:val="24"/>
              </w:rPr>
              <w:t>校企合作可以更多元，例如实训手册的编制、课程标准的制定等。</w:t>
            </w:r>
          </w:p>
        </w:tc>
      </w:tr>
      <w:tr w14:paraId="40DA7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D80C988">
            <w:pPr>
              <w:jc w:val="center"/>
              <w:rPr>
                <w:rFonts w:hint="eastAsia" w:ascii="仿宋" w:hAnsi="仿宋" w:eastAsia="仿宋" w:cs="仿宋"/>
                <w:sz w:val="24"/>
              </w:rPr>
            </w:pPr>
          </w:p>
        </w:tc>
        <w:tc>
          <w:tcPr>
            <w:tcW w:w="2769" w:type="dxa"/>
            <w:vMerge w:val="continue"/>
            <w:vAlign w:val="center"/>
          </w:tcPr>
          <w:p w14:paraId="30C053CE">
            <w:pPr>
              <w:snapToGrid w:val="0"/>
              <w:jc w:val="left"/>
              <w:rPr>
                <w:rFonts w:hint="eastAsia" w:ascii="仿宋" w:hAnsi="仿宋" w:eastAsia="仿宋" w:cs="仿宋"/>
                <w:sz w:val="24"/>
              </w:rPr>
            </w:pPr>
          </w:p>
        </w:tc>
        <w:tc>
          <w:tcPr>
            <w:tcW w:w="4800" w:type="dxa"/>
            <w:vAlign w:val="center"/>
          </w:tcPr>
          <w:p w14:paraId="5D5BC0CE">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2.校企合作模式阐述不清晰</w:t>
            </w:r>
          </w:p>
        </w:tc>
        <w:tc>
          <w:tcPr>
            <w:tcW w:w="4701" w:type="dxa"/>
            <w:vAlign w:val="center"/>
          </w:tcPr>
          <w:p w14:paraId="240076CE">
            <w:pPr>
              <w:jc w:val="left"/>
              <w:rPr>
                <w:rFonts w:hint="eastAsia" w:ascii="仿宋" w:hAnsi="仿宋" w:eastAsia="仿宋" w:cs="仿宋"/>
                <w:sz w:val="24"/>
              </w:rPr>
            </w:pPr>
            <w:r>
              <w:rPr>
                <w:rFonts w:hint="eastAsia" w:ascii="仿宋" w:hAnsi="仿宋" w:eastAsia="仿宋" w:cs="仿宋"/>
                <w:sz w:val="24"/>
              </w:rPr>
              <w:t>加强调研，学习其他院校的经验，或者参阅相关教学成果奖的资料进行学习。</w:t>
            </w:r>
          </w:p>
        </w:tc>
      </w:tr>
      <w:tr w14:paraId="24D37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2749F1B0">
            <w:pPr>
              <w:jc w:val="center"/>
              <w:rPr>
                <w:rFonts w:hint="eastAsia" w:ascii="仿宋" w:hAnsi="仿宋" w:eastAsia="仿宋" w:cs="仿宋"/>
                <w:sz w:val="24"/>
              </w:rPr>
            </w:pPr>
          </w:p>
        </w:tc>
        <w:tc>
          <w:tcPr>
            <w:tcW w:w="2769" w:type="dxa"/>
            <w:vMerge w:val="continue"/>
            <w:vAlign w:val="center"/>
          </w:tcPr>
          <w:p w14:paraId="773CE0F2">
            <w:pPr>
              <w:snapToGrid w:val="0"/>
              <w:jc w:val="left"/>
              <w:rPr>
                <w:rFonts w:hint="eastAsia" w:ascii="仿宋" w:hAnsi="仿宋" w:eastAsia="仿宋" w:cs="仿宋"/>
                <w:sz w:val="24"/>
              </w:rPr>
            </w:pPr>
          </w:p>
        </w:tc>
        <w:tc>
          <w:tcPr>
            <w:tcW w:w="4800" w:type="dxa"/>
            <w:vAlign w:val="center"/>
          </w:tcPr>
          <w:p w14:paraId="5F84214C">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3.</w:t>
            </w:r>
            <w:r>
              <w:rPr>
                <w:rFonts w:hint="default" w:ascii="仿宋" w:hAnsi="仿宋" w:eastAsia="仿宋" w:cs="仿宋"/>
                <w:i w:val="0"/>
                <w:iCs w:val="0"/>
                <w:color w:val="000000"/>
                <w:kern w:val="0"/>
                <w:sz w:val="24"/>
                <w:szCs w:val="24"/>
                <w:u w:val="none"/>
                <w:lang w:val="en-US" w:eastAsia="zh-CN" w:bidi="ar"/>
              </w:rPr>
              <w:t>合作形式局限于见习实习，未开展“订单式”培养</w:t>
            </w:r>
          </w:p>
        </w:tc>
        <w:tc>
          <w:tcPr>
            <w:tcW w:w="4701" w:type="dxa"/>
            <w:vAlign w:val="center"/>
          </w:tcPr>
          <w:p w14:paraId="3F1751C5">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与优质园所签订“订单培养”协议，共同制定招生标准、课程计划与考核方案</w:t>
            </w:r>
          </w:p>
        </w:tc>
      </w:tr>
      <w:tr w14:paraId="7BE11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4E209E06">
            <w:pPr>
              <w:jc w:val="center"/>
              <w:rPr>
                <w:rFonts w:hint="eastAsia" w:ascii="仿宋" w:hAnsi="仿宋" w:eastAsia="仿宋" w:cs="仿宋"/>
                <w:sz w:val="24"/>
              </w:rPr>
            </w:pPr>
          </w:p>
        </w:tc>
        <w:tc>
          <w:tcPr>
            <w:tcW w:w="2769" w:type="dxa"/>
            <w:vMerge w:val="continue"/>
            <w:vAlign w:val="center"/>
          </w:tcPr>
          <w:p w14:paraId="3943D43D">
            <w:pPr>
              <w:snapToGrid w:val="0"/>
              <w:jc w:val="left"/>
              <w:rPr>
                <w:rFonts w:hint="eastAsia" w:ascii="仿宋" w:hAnsi="仿宋" w:eastAsia="仿宋" w:cs="仿宋"/>
                <w:sz w:val="24"/>
              </w:rPr>
            </w:pPr>
          </w:p>
        </w:tc>
        <w:tc>
          <w:tcPr>
            <w:tcW w:w="4800" w:type="dxa"/>
            <w:vAlign w:val="center"/>
          </w:tcPr>
          <w:p w14:paraId="4DC103CF">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4.</w:t>
            </w:r>
            <w:r>
              <w:rPr>
                <w:rFonts w:hint="default" w:ascii="仿宋" w:hAnsi="仿宋" w:eastAsia="仿宋" w:cs="仿宋"/>
                <w:i w:val="0"/>
                <w:iCs w:val="0"/>
                <w:color w:val="000000"/>
                <w:kern w:val="0"/>
                <w:sz w:val="24"/>
                <w:szCs w:val="24"/>
                <w:u w:val="none"/>
                <w:lang w:val="en-US" w:eastAsia="zh-CN" w:bidi="ar"/>
              </w:rPr>
              <w:t>教师赴企业挂职人数为0，校企人员双向流动停滞</w:t>
            </w:r>
          </w:p>
        </w:tc>
        <w:tc>
          <w:tcPr>
            <w:tcW w:w="4701" w:type="dxa"/>
            <w:vAlign w:val="center"/>
          </w:tcPr>
          <w:p w14:paraId="694942C9">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每年选派2名骨干教师赴合作园挂职6个月，挂职成果纳入职称评审条件</w:t>
            </w:r>
          </w:p>
        </w:tc>
      </w:tr>
      <w:tr w14:paraId="799FF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72859A54">
            <w:pPr>
              <w:jc w:val="center"/>
              <w:rPr>
                <w:rFonts w:hint="eastAsia" w:ascii="仿宋" w:hAnsi="仿宋" w:eastAsia="仿宋" w:cs="仿宋"/>
                <w:sz w:val="24"/>
              </w:rPr>
            </w:pPr>
          </w:p>
        </w:tc>
        <w:tc>
          <w:tcPr>
            <w:tcW w:w="2769" w:type="dxa"/>
            <w:vMerge w:val="restart"/>
            <w:vAlign w:val="center"/>
          </w:tcPr>
          <w:p w14:paraId="7E3B3047">
            <w:pPr>
              <w:snapToGrid w:val="0"/>
              <w:jc w:val="left"/>
              <w:rPr>
                <w:rFonts w:hint="eastAsia" w:ascii="仿宋" w:hAnsi="仿宋" w:eastAsia="仿宋" w:cs="仿宋"/>
                <w:sz w:val="24"/>
              </w:rPr>
            </w:pPr>
            <w:r>
              <w:rPr>
                <w:rFonts w:hint="eastAsia" w:ascii="仿宋" w:hAnsi="仿宋" w:eastAsia="仿宋" w:cs="仿宋"/>
                <w:sz w:val="24"/>
              </w:rPr>
              <w:t>8.2 社会服务</w:t>
            </w:r>
          </w:p>
        </w:tc>
        <w:tc>
          <w:tcPr>
            <w:tcW w:w="4800" w:type="dxa"/>
            <w:vAlign w:val="center"/>
          </w:tcPr>
          <w:p w14:paraId="3FB80143">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1.多元性有待提升</w:t>
            </w:r>
          </w:p>
        </w:tc>
        <w:tc>
          <w:tcPr>
            <w:tcW w:w="4701" w:type="dxa"/>
            <w:vAlign w:val="center"/>
          </w:tcPr>
          <w:p w14:paraId="11154FB8">
            <w:pPr>
              <w:jc w:val="left"/>
              <w:rPr>
                <w:rFonts w:hint="eastAsia" w:ascii="仿宋" w:hAnsi="仿宋" w:eastAsia="仿宋" w:cs="仿宋"/>
                <w:sz w:val="24"/>
              </w:rPr>
            </w:pPr>
            <w:r>
              <w:rPr>
                <w:rFonts w:hint="eastAsia" w:ascii="仿宋" w:hAnsi="仿宋" w:eastAsia="仿宋" w:cs="仿宋"/>
                <w:sz w:val="24"/>
              </w:rPr>
              <w:t>除了讲座外，还可以有跟岗指导、大赛裁判等各种形式</w:t>
            </w:r>
          </w:p>
        </w:tc>
      </w:tr>
      <w:tr w14:paraId="6AC86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652C9A0">
            <w:pPr>
              <w:jc w:val="center"/>
              <w:rPr>
                <w:rFonts w:hint="eastAsia" w:ascii="仿宋" w:hAnsi="仿宋" w:eastAsia="仿宋" w:cs="仿宋"/>
                <w:sz w:val="24"/>
              </w:rPr>
            </w:pPr>
          </w:p>
        </w:tc>
        <w:tc>
          <w:tcPr>
            <w:tcW w:w="2769" w:type="dxa"/>
            <w:vMerge w:val="continue"/>
            <w:vAlign w:val="center"/>
          </w:tcPr>
          <w:p w14:paraId="0EB4429B">
            <w:pPr>
              <w:snapToGrid w:val="0"/>
              <w:jc w:val="left"/>
              <w:rPr>
                <w:rFonts w:hint="eastAsia" w:ascii="仿宋" w:hAnsi="仿宋" w:eastAsia="仿宋" w:cs="仿宋"/>
                <w:sz w:val="24"/>
              </w:rPr>
            </w:pPr>
          </w:p>
        </w:tc>
        <w:tc>
          <w:tcPr>
            <w:tcW w:w="4800" w:type="dxa"/>
            <w:vAlign w:val="center"/>
          </w:tcPr>
          <w:p w14:paraId="210C0657">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2.</w:t>
            </w:r>
            <w:r>
              <w:rPr>
                <w:rFonts w:hint="default" w:ascii="仿宋" w:hAnsi="仿宋" w:eastAsia="仿宋" w:cs="仿宋"/>
                <w:i w:val="0"/>
                <w:iCs w:val="0"/>
                <w:color w:val="000000"/>
                <w:kern w:val="0"/>
                <w:sz w:val="24"/>
                <w:szCs w:val="24"/>
                <w:u w:val="none"/>
                <w:lang w:val="en-US" w:eastAsia="zh-CN" w:bidi="ar"/>
              </w:rPr>
              <w:t>成人学历教育、继续教育项目空白，无招生记录</w:t>
            </w:r>
          </w:p>
        </w:tc>
        <w:tc>
          <w:tcPr>
            <w:tcW w:w="4701" w:type="dxa"/>
            <w:vAlign w:val="center"/>
          </w:tcPr>
          <w:p w14:paraId="04D31D0F">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联合地方教育局开设“幼教技能提升班”，建立成人教育招生与台账制度</w:t>
            </w:r>
          </w:p>
        </w:tc>
      </w:tr>
      <w:tr w14:paraId="21738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restart"/>
            <w:vAlign w:val="center"/>
          </w:tcPr>
          <w:p w14:paraId="55A5FFCD">
            <w:pPr>
              <w:jc w:val="center"/>
              <w:rPr>
                <w:rFonts w:hint="eastAsia" w:ascii="仿宋" w:hAnsi="仿宋" w:eastAsia="仿宋" w:cs="仿宋"/>
                <w:sz w:val="24"/>
              </w:rPr>
            </w:pPr>
            <w:r>
              <w:rPr>
                <w:rFonts w:hint="eastAsia" w:ascii="仿宋" w:hAnsi="仿宋" w:eastAsia="仿宋" w:cs="仿宋"/>
                <w:sz w:val="24"/>
              </w:rPr>
              <w:t>9.社会评价与特色创新</w:t>
            </w:r>
          </w:p>
        </w:tc>
        <w:tc>
          <w:tcPr>
            <w:tcW w:w="2769" w:type="dxa"/>
            <w:vMerge w:val="restart"/>
            <w:vAlign w:val="center"/>
          </w:tcPr>
          <w:p w14:paraId="5C5342A6">
            <w:pPr>
              <w:snapToGrid w:val="0"/>
              <w:jc w:val="left"/>
              <w:rPr>
                <w:rFonts w:hint="eastAsia" w:ascii="仿宋" w:hAnsi="仿宋" w:eastAsia="仿宋" w:cs="仿宋"/>
                <w:sz w:val="24"/>
              </w:rPr>
            </w:pPr>
            <w:r>
              <w:rPr>
                <w:rFonts w:hint="eastAsia" w:ascii="仿宋" w:hAnsi="仿宋" w:eastAsia="仿宋" w:cs="仿宋"/>
                <w:sz w:val="24"/>
              </w:rPr>
              <w:t>9.1专业竞争力</w:t>
            </w:r>
          </w:p>
        </w:tc>
        <w:tc>
          <w:tcPr>
            <w:tcW w:w="4800" w:type="dxa"/>
            <w:vAlign w:val="center"/>
          </w:tcPr>
          <w:p w14:paraId="0130B8B8">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1.专业竞争力的表述与前面一些指标的达成会形成一定的矛盾</w:t>
            </w:r>
          </w:p>
        </w:tc>
        <w:tc>
          <w:tcPr>
            <w:tcW w:w="4701" w:type="dxa"/>
            <w:vAlign w:val="center"/>
          </w:tcPr>
          <w:p w14:paraId="452B1939">
            <w:pPr>
              <w:jc w:val="left"/>
              <w:rPr>
                <w:rFonts w:hint="eastAsia" w:ascii="仿宋" w:hAnsi="仿宋" w:eastAsia="仿宋" w:cs="仿宋"/>
                <w:sz w:val="24"/>
              </w:rPr>
            </w:pPr>
            <w:r>
              <w:rPr>
                <w:rFonts w:hint="eastAsia" w:ascii="仿宋" w:hAnsi="仿宋" w:eastAsia="仿宋" w:cs="仿宋"/>
                <w:sz w:val="24"/>
              </w:rPr>
              <w:t>对照梳理一下数据</w:t>
            </w:r>
          </w:p>
        </w:tc>
      </w:tr>
      <w:tr w14:paraId="41604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72A73F1">
            <w:pPr>
              <w:jc w:val="center"/>
              <w:rPr>
                <w:rFonts w:hint="eastAsia" w:ascii="仿宋" w:hAnsi="仿宋" w:eastAsia="仿宋" w:cs="仿宋"/>
                <w:sz w:val="24"/>
              </w:rPr>
            </w:pPr>
          </w:p>
        </w:tc>
        <w:tc>
          <w:tcPr>
            <w:tcW w:w="2769" w:type="dxa"/>
            <w:vMerge w:val="continue"/>
            <w:vAlign w:val="center"/>
          </w:tcPr>
          <w:p w14:paraId="1DEFF29D">
            <w:pPr>
              <w:snapToGrid w:val="0"/>
              <w:jc w:val="left"/>
              <w:rPr>
                <w:rFonts w:hint="eastAsia" w:ascii="仿宋" w:hAnsi="仿宋" w:eastAsia="仿宋" w:cs="仿宋"/>
                <w:sz w:val="24"/>
              </w:rPr>
            </w:pPr>
          </w:p>
        </w:tc>
        <w:tc>
          <w:tcPr>
            <w:tcW w:w="4800" w:type="dxa"/>
            <w:vAlign w:val="center"/>
          </w:tcPr>
          <w:p w14:paraId="1C48E8A8">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2.</w:t>
            </w:r>
            <w:r>
              <w:rPr>
                <w:rFonts w:hint="default" w:ascii="仿宋" w:hAnsi="仿宋" w:eastAsia="仿宋" w:cs="仿宋"/>
                <w:i w:val="0"/>
                <w:iCs w:val="0"/>
                <w:color w:val="000000"/>
                <w:kern w:val="0"/>
                <w:sz w:val="24"/>
                <w:szCs w:val="24"/>
                <w:u w:val="none"/>
                <w:lang w:val="en-US" w:eastAsia="zh-CN" w:bidi="ar"/>
              </w:rPr>
              <w:t>媒体报道碎片化，未形成系统性品牌宣传计划</w:t>
            </w:r>
          </w:p>
        </w:tc>
        <w:tc>
          <w:tcPr>
            <w:tcW w:w="4701" w:type="dxa"/>
            <w:vAlign w:val="center"/>
          </w:tcPr>
          <w:p w14:paraId="48E05545">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制定年度宣传方案，与省级教育媒体共建“专业专栏”，每月推送1期成果</w:t>
            </w:r>
          </w:p>
        </w:tc>
      </w:tr>
      <w:tr w14:paraId="75D13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521D5932">
            <w:pPr>
              <w:jc w:val="center"/>
              <w:rPr>
                <w:rFonts w:hint="eastAsia" w:ascii="仿宋" w:hAnsi="仿宋" w:eastAsia="仿宋" w:cs="仿宋"/>
                <w:sz w:val="24"/>
              </w:rPr>
            </w:pPr>
          </w:p>
        </w:tc>
        <w:tc>
          <w:tcPr>
            <w:tcW w:w="2769" w:type="dxa"/>
            <w:vMerge w:val="continue"/>
            <w:vAlign w:val="center"/>
          </w:tcPr>
          <w:p w14:paraId="591169E6">
            <w:pPr>
              <w:snapToGrid w:val="0"/>
              <w:jc w:val="left"/>
              <w:rPr>
                <w:rFonts w:hint="eastAsia" w:ascii="仿宋" w:hAnsi="仿宋" w:eastAsia="仿宋" w:cs="仿宋"/>
                <w:sz w:val="24"/>
              </w:rPr>
            </w:pPr>
          </w:p>
        </w:tc>
        <w:tc>
          <w:tcPr>
            <w:tcW w:w="4800" w:type="dxa"/>
            <w:vAlign w:val="center"/>
          </w:tcPr>
          <w:p w14:paraId="7E783CA8">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3.</w:t>
            </w:r>
            <w:r>
              <w:rPr>
                <w:rFonts w:hint="default" w:ascii="仿宋" w:hAnsi="仿宋" w:eastAsia="仿宋" w:cs="仿宋"/>
                <w:i w:val="0"/>
                <w:iCs w:val="0"/>
                <w:color w:val="000000"/>
                <w:kern w:val="0"/>
                <w:sz w:val="24"/>
                <w:szCs w:val="24"/>
                <w:u w:val="none"/>
                <w:lang w:val="en-US" w:eastAsia="zh-CN" w:bidi="ar"/>
              </w:rPr>
              <w:t>省级以上标志性成果少，未在核心方向集中突破</w:t>
            </w:r>
          </w:p>
        </w:tc>
        <w:tc>
          <w:tcPr>
            <w:tcW w:w="4701" w:type="dxa"/>
            <w:vAlign w:val="center"/>
          </w:tcPr>
          <w:p w14:paraId="6C7ED724">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聚焦“托幼一体化课程”申报省级教学成果奖，组建专项团队与经费支持</w:t>
            </w:r>
          </w:p>
        </w:tc>
      </w:tr>
      <w:tr w14:paraId="61923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2D9EA791">
            <w:pPr>
              <w:jc w:val="left"/>
              <w:rPr>
                <w:rFonts w:hint="eastAsia" w:ascii="仿宋" w:hAnsi="仿宋" w:eastAsia="仿宋" w:cs="仿宋"/>
                <w:sz w:val="24"/>
              </w:rPr>
            </w:pPr>
          </w:p>
        </w:tc>
        <w:tc>
          <w:tcPr>
            <w:tcW w:w="2769" w:type="dxa"/>
            <w:vMerge w:val="restart"/>
            <w:vAlign w:val="center"/>
          </w:tcPr>
          <w:p w14:paraId="53C2DC1E">
            <w:pPr>
              <w:snapToGrid w:val="0"/>
              <w:jc w:val="left"/>
              <w:rPr>
                <w:rFonts w:hint="eastAsia" w:ascii="仿宋" w:hAnsi="仿宋" w:eastAsia="仿宋" w:cs="仿宋"/>
                <w:sz w:val="24"/>
              </w:rPr>
            </w:pPr>
            <w:r>
              <w:rPr>
                <w:rFonts w:hint="eastAsia" w:ascii="仿宋" w:hAnsi="仿宋" w:eastAsia="仿宋" w:cs="仿宋"/>
                <w:sz w:val="24"/>
              </w:rPr>
              <w:t>9.2 专业招生</w:t>
            </w:r>
          </w:p>
        </w:tc>
        <w:tc>
          <w:tcPr>
            <w:tcW w:w="4800" w:type="dxa"/>
            <w:vAlign w:val="center"/>
          </w:tcPr>
          <w:p w14:paraId="7583596A">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1.材料中只能看到招生报到率，生源质量看不到。</w:t>
            </w:r>
          </w:p>
        </w:tc>
        <w:tc>
          <w:tcPr>
            <w:tcW w:w="4701" w:type="dxa"/>
            <w:vAlign w:val="center"/>
          </w:tcPr>
          <w:p w14:paraId="4B0A34A3">
            <w:pPr>
              <w:jc w:val="left"/>
              <w:rPr>
                <w:rFonts w:hint="eastAsia" w:ascii="仿宋" w:hAnsi="仿宋" w:eastAsia="仿宋" w:cs="仿宋"/>
                <w:sz w:val="24"/>
              </w:rPr>
            </w:pPr>
          </w:p>
        </w:tc>
      </w:tr>
      <w:tr w14:paraId="3F669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112CD3BA">
            <w:pPr>
              <w:jc w:val="left"/>
              <w:rPr>
                <w:rFonts w:hint="eastAsia" w:ascii="仿宋" w:hAnsi="仿宋" w:eastAsia="仿宋" w:cs="仿宋"/>
                <w:sz w:val="24"/>
              </w:rPr>
            </w:pPr>
          </w:p>
        </w:tc>
        <w:tc>
          <w:tcPr>
            <w:tcW w:w="2769" w:type="dxa"/>
            <w:vMerge w:val="continue"/>
            <w:vAlign w:val="center"/>
          </w:tcPr>
          <w:p w14:paraId="41CB0329">
            <w:pPr>
              <w:snapToGrid w:val="0"/>
              <w:jc w:val="left"/>
              <w:rPr>
                <w:rFonts w:hint="eastAsia" w:ascii="仿宋" w:hAnsi="仿宋" w:eastAsia="仿宋" w:cs="仿宋"/>
                <w:sz w:val="24"/>
              </w:rPr>
            </w:pPr>
          </w:p>
        </w:tc>
        <w:tc>
          <w:tcPr>
            <w:tcW w:w="4800" w:type="dxa"/>
            <w:vAlign w:val="center"/>
          </w:tcPr>
          <w:p w14:paraId="3660D50A">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2.</w:t>
            </w:r>
            <w:r>
              <w:rPr>
                <w:rFonts w:hint="default" w:ascii="仿宋" w:hAnsi="仿宋" w:eastAsia="仿宋" w:cs="仿宋"/>
                <w:i w:val="0"/>
                <w:iCs w:val="0"/>
                <w:color w:val="000000"/>
                <w:kern w:val="0"/>
                <w:sz w:val="24"/>
                <w:szCs w:val="24"/>
                <w:u w:val="none"/>
                <w:lang w:val="en-US" w:eastAsia="zh-CN" w:bidi="ar"/>
              </w:rPr>
              <w:t>新生报到率逐年下滑，2025年仅88.69%，未达98%</w:t>
            </w:r>
          </w:p>
        </w:tc>
        <w:tc>
          <w:tcPr>
            <w:tcW w:w="4701" w:type="dxa"/>
            <w:vAlign w:val="center"/>
          </w:tcPr>
          <w:p w14:paraId="7FDCF5BF">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建立“录取—报到—就业”全链条沟通机制，录取后每月推送就业案例与政策解读</w:t>
            </w:r>
          </w:p>
        </w:tc>
      </w:tr>
      <w:tr w14:paraId="59F60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4AF9A1F4">
            <w:pPr>
              <w:jc w:val="left"/>
              <w:rPr>
                <w:rFonts w:hint="eastAsia" w:ascii="仿宋" w:hAnsi="仿宋" w:eastAsia="仿宋" w:cs="仿宋"/>
                <w:sz w:val="24"/>
              </w:rPr>
            </w:pPr>
          </w:p>
        </w:tc>
        <w:tc>
          <w:tcPr>
            <w:tcW w:w="2769" w:type="dxa"/>
            <w:vMerge w:val="continue"/>
            <w:vAlign w:val="center"/>
          </w:tcPr>
          <w:p w14:paraId="21589FAC">
            <w:pPr>
              <w:snapToGrid w:val="0"/>
              <w:jc w:val="left"/>
              <w:rPr>
                <w:rFonts w:hint="eastAsia" w:ascii="仿宋" w:hAnsi="仿宋" w:eastAsia="仿宋" w:cs="仿宋"/>
                <w:sz w:val="24"/>
              </w:rPr>
            </w:pPr>
          </w:p>
        </w:tc>
        <w:tc>
          <w:tcPr>
            <w:tcW w:w="4800" w:type="dxa"/>
            <w:vAlign w:val="center"/>
          </w:tcPr>
          <w:p w14:paraId="195D46AB">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3.</w:t>
            </w:r>
            <w:r>
              <w:rPr>
                <w:rFonts w:hint="default" w:ascii="仿宋" w:hAnsi="仿宋" w:eastAsia="仿宋" w:cs="仿宋"/>
                <w:i w:val="0"/>
                <w:iCs w:val="0"/>
                <w:color w:val="000000"/>
                <w:kern w:val="0"/>
                <w:sz w:val="24"/>
                <w:szCs w:val="24"/>
                <w:u w:val="none"/>
                <w:lang w:val="en-US" w:eastAsia="zh-CN" w:bidi="ar"/>
              </w:rPr>
              <w:t>行业少子化负面信息未有效回应，考生信心不足</w:t>
            </w:r>
          </w:p>
        </w:tc>
        <w:tc>
          <w:tcPr>
            <w:tcW w:w="4701" w:type="dxa"/>
            <w:vAlign w:val="center"/>
          </w:tcPr>
          <w:p w14:paraId="484B54EC">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制作“托育扩容政策解读”短视频，邀请优秀毕业生直播分享就业经历</w:t>
            </w:r>
          </w:p>
        </w:tc>
      </w:tr>
      <w:tr w14:paraId="5BF1D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05653E65">
            <w:pPr>
              <w:jc w:val="left"/>
              <w:rPr>
                <w:rFonts w:hint="eastAsia" w:ascii="仿宋" w:hAnsi="仿宋" w:eastAsia="仿宋" w:cs="仿宋"/>
                <w:sz w:val="24"/>
              </w:rPr>
            </w:pPr>
          </w:p>
        </w:tc>
        <w:tc>
          <w:tcPr>
            <w:tcW w:w="2769" w:type="dxa"/>
            <w:vMerge w:val="restart"/>
            <w:vAlign w:val="center"/>
          </w:tcPr>
          <w:p w14:paraId="338FEF22">
            <w:pPr>
              <w:snapToGrid w:val="0"/>
              <w:jc w:val="left"/>
              <w:rPr>
                <w:rFonts w:hint="eastAsia" w:ascii="仿宋" w:hAnsi="仿宋" w:eastAsia="仿宋" w:cs="仿宋"/>
                <w:sz w:val="24"/>
              </w:rPr>
            </w:pPr>
            <w:r>
              <w:rPr>
                <w:rFonts w:hint="eastAsia" w:ascii="仿宋" w:hAnsi="仿宋" w:eastAsia="仿宋" w:cs="仿宋"/>
                <w:sz w:val="24"/>
              </w:rPr>
              <w:t>9.3 特色创新</w:t>
            </w:r>
          </w:p>
        </w:tc>
        <w:tc>
          <w:tcPr>
            <w:tcW w:w="4800" w:type="dxa"/>
            <w:vAlign w:val="center"/>
          </w:tcPr>
          <w:p w14:paraId="33D5CC4F">
            <w:pPr>
              <w:widowControl/>
              <w:jc w:val="left"/>
              <w:textAlignment w:val="center"/>
              <w:rPr>
                <w:rFonts w:hint="eastAsia" w:ascii="仿宋" w:hAnsi="仿宋" w:eastAsia="仿宋" w:cs="仿宋"/>
                <w:sz w:val="24"/>
              </w:rPr>
            </w:pPr>
            <w:r>
              <w:rPr>
                <w:rFonts w:hint="eastAsia" w:ascii="仿宋" w:hAnsi="仿宋" w:eastAsia="仿宋" w:cs="仿宋"/>
                <w:color w:val="000000"/>
                <w:kern w:val="0"/>
                <w:sz w:val="24"/>
                <w:lang w:bidi="ar"/>
              </w:rPr>
              <w:t>1.提炼不够</w:t>
            </w:r>
            <w:r>
              <w:rPr>
                <w:rFonts w:hint="eastAsia" w:ascii="仿宋" w:hAnsi="仿宋" w:eastAsia="仿宋" w:cs="仿宋"/>
                <w:sz w:val="24"/>
              </w:rPr>
              <w:t xml:space="preserve"> </w:t>
            </w:r>
          </w:p>
        </w:tc>
        <w:tc>
          <w:tcPr>
            <w:tcW w:w="4701" w:type="dxa"/>
            <w:vAlign w:val="center"/>
          </w:tcPr>
          <w:p w14:paraId="2C0BCE30">
            <w:pPr>
              <w:jc w:val="left"/>
              <w:rPr>
                <w:rFonts w:hint="eastAsia" w:ascii="仿宋" w:hAnsi="仿宋" w:eastAsia="仿宋" w:cs="仿宋"/>
                <w:sz w:val="24"/>
              </w:rPr>
            </w:pPr>
            <w:r>
              <w:rPr>
                <w:rFonts w:hint="eastAsia" w:ascii="仿宋" w:hAnsi="仿宋" w:eastAsia="仿宋" w:cs="仿宋"/>
                <w:sz w:val="24"/>
              </w:rPr>
              <w:t>扎根专业，结合学校办学特色进行梳理</w:t>
            </w:r>
          </w:p>
        </w:tc>
      </w:tr>
      <w:tr w14:paraId="63A87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6C9148EE">
            <w:pPr>
              <w:jc w:val="left"/>
              <w:rPr>
                <w:rFonts w:hint="eastAsia" w:ascii="仿宋" w:hAnsi="仿宋" w:eastAsia="仿宋" w:cs="仿宋"/>
                <w:sz w:val="24"/>
              </w:rPr>
            </w:pPr>
          </w:p>
        </w:tc>
        <w:tc>
          <w:tcPr>
            <w:tcW w:w="2769" w:type="dxa"/>
            <w:vMerge w:val="continue"/>
            <w:vAlign w:val="center"/>
          </w:tcPr>
          <w:p w14:paraId="0D7E1C34">
            <w:pPr>
              <w:snapToGrid w:val="0"/>
              <w:jc w:val="left"/>
              <w:rPr>
                <w:rFonts w:hint="eastAsia" w:ascii="仿宋" w:hAnsi="仿宋" w:eastAsia="仿宋" w:cs="仿宋"/>
                <w:sz w:val="24"/>
              </w:rPr>
            </w:pPr>
          </w:p>
        </w:tc>
        <w:tc>
          <w:tcPr>
            <w:tcW w:w="4800" w:type="dxa"/>
            <w:vAlign w:val="center"/>
          </w:tcPr>
          <w:p w14:paraId="201DF3FD">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2.</w:t>
            </w:r>
            <w:r>
              <w:rPr>
                <w:rFonts w:hint="default" w:ascii="仿宋" w:hAnsi="仿宋" w:eastAsia="仿宋" w:cs="仿宋"/>
                <w:i w:val="0"/>
                <w:iCs w:val="0"/>
                <w:color w:val="000000"/>
                <w:kern w:val="0"/>
                <w:sz w:val="24"/>
                <w:szCs w:val="24"/>
                <w:u w:val="none"/>
                <w:lang w:val="en-US" w:eastAsia="zh-CN" w:bidi="ar"/>
              </w:rPr>
              <w:t>特色辨识度低，与同类院校差异小，缺乏专属课程</w:t>
            </w:r>
          </w:p>
        </w:tc>
        <w:tc>
          <w:tcPr>
            <w:tcW w:w="4701" w:type="dxa"/>
            <w:vAlign w:val="center"/>
          </w:tcPr>
          <w:p w14:paraId="166A2CB2">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开发“非遗幼儿课程设计”方向，建设专属实训室，形成“课程—实训—实践”闭环</w:t>
            </w:r>
          </w:p>
        </w:tc>
      </w:tr>
      <w:tr w14:paraId="357AF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950" w:type="dxa"/>
            <w:vMerge w:val="continue"/>
            <w:vAlign w:val="center"/>
          </w:tcPr>
          <w:p w14:paraId="30D0C42E">
            <w:pPr>
              <w:jc w:val="left"/>
              <w:rPr>
                <w:rFonts w:hint="eastAsia" w:ascii="仿宋" w:hAnsi="仿宋" w:eastAsia="仿宋" w:cs="仿宋"/>
                <w:sz w:val="24"/>
              </w:rPr>
            </w:pPr>
          </w:p>
        </w:tc>
        <w:tc>
          <w:tcPr>
            <w:tcW w:w="2769" w:type="dxa"/>
            <w:vMerge w:val="continue"/>
            <w:vAlign w:val="center"/>
          </w:tcPr>
          <w:p w14:paraId="6D4E7A9C">
            <w:pPr>
              <w:snapToGrid w:val="0"/>
              <w:jc w:val="left"/>
              <w:rPr>
                <w:rFonts w:hint="eastAsia" w:ascii="仿宋" w:hAnsi="仿宋" w:eastAsia="仿宋" w:cs="仿宋"/>
                <w:sz w:val="24"/>
              </w:rPr>
            </w:pPr>
          </w:p>
        </w:tc>
        <w:tc>
          <w:tcPr>
            <w:tcW w:w="4800" w:type="dxa"/>
            <w:vAlign w:val="center"/>
          </w:tcPr>
          <w:p w14:paraId="18809882">
            <w:pPr>
              <w:keepNext w:val="0"/>
              <w:keepLines w:val="0"/>
              <w:widowControl/>
              <w:suppressLineNumbers w:val="0"/>
              <w:jc w:val="left"/>
              <w:textAlignment w:val="center"/>
              <w:rPr>
                <w:rFonts w:hint="eastAsia" w:ascii="仿宋" w:hAnsi="仿宋" w:eastAsia="仿宋" w:cs="仿宋"/>
                <w:color w:val="000000"/>
                <w:kern w:val="0"/>
                <w:sz w:val="24"/>
                <w:lang w:bidi="ar"/>
              </w:rPr>
            </w:pPr>
            <w:r>
              <w:rPr>
                <w:rFonts w:hint="eastAsia" w:ascii="仿宋" w:hAnsi="仿宋" w:eastAsia="仿宋" w:cs="仿宋"/>
                <w:i w:val="0"/>
                <w:iCs w:val="0"/>
                <w:color w:val="000000"/>
                <w:kern w:val="0"/>
                <w:sz w:val="24"/>
                <w:szCs w:val="24"/>
                <w:u w:val="none"/>
                <w:lang w:val="en-US" w:eastAsia="zh-CN" w:bidi="ar"/>
              </w:rPr>
              <w:t>3.</w:t>
            </w:r>
            <w:r>
              <w:rPr>
                <w:rFonts w:hint="default" w:ascii="仿宋" w:hAnsi="仿宋" w:eastAsia="仿宋" w:cs="仿宋"/>
                <w:i w:val="0"/>
                <w:iCs w:val="0"/>
                <w:color w:val="000000"/>
                <w:kern w:val="0"/>
                <w:sz w:val="24"/>
                <w:szCs w:val="24"/>
                <w:u w:val="none"/>
                <w:lang w:val="en-US" w:eastAsia="zh-CN" w:bidi="ar"/>
              </w:rPr>
              <w:t>特色建设未纳入人培落地，数字化保教、托育融合模块尚未开课</w:t>
            </w:r>
          </w:p>
        </w:tc>
        <w:tc>
          <w:tcPr>
            <w:tcW w:w="4701" w:type="dxa"/>
            <w:vAlign w:val="center"/>
          </w:tcPr>
          <w:p w14:paraId="1E7CCF5B">
            <w:pPr>
              <w:keepNext w:val="0"/>
              <w:keepLines w:val="0"/>
              <w:widowControl/>
              <w:suppressLineNumbers w:val="0"/>
              <w:jc w:val="left"/>
              <w:textAlignment w:val="center"/>
              <w:rPr>
                <w:rFonts w:hint="eastAsia" w:ascii="仿宋" w:hAnsi="仿宋" w:eastAsia="仿宋" w:cs="仿宋"/>
                <w:sz w:val="24"/>
              </w:rPr>
            </w:pPr>
            <w:r>
              <w:rPr>
                <w:rFonts w:hint="default" w:ascii="仿宋" w:hAnsi="仿宋" w:eastAsia="仿宋" w:cs="仿宋"/>
                <w:i w:val="0"/>
                <w:iCs w:val="0"/>
                <w:color w:val="000000"/>
                <w:kern w:val="0"/>
                <w:sz w:val="24"/>
                <w:szCs w:val="24"/>
                <w:u w:val="none"/>
                <w:lang w:val="en-US" w:eastAsia="zh-CN" w:bidi="ar"/>
              </w:rPr>
              <w:t>2025级起将数字化保教、托育融合纳入人才培养方案，设置必修学分与实训周</w:t>
            </w:r>
          </w:p>
        </w:tc>
      </w:tr>
    </w:tbl>
    <w:p w14:paraId="4DBD6DCD">
      <w:pPr>
        <w:spacing w:before="156" w:beforeLines="50"/>
        <w:rPr>
          <w:rFonts w:hint="eastAsia" w:ascii="仿宋" w:hAnsi="仿宋" w:eastAsia="仿宋" w:cs="仿宋"/>
          <w:b/>
          <w:bCs/>
          <w:sz w:val="30"/>
          <w:szCs w:val="30"/>
        </w:rPr>
      </w:pPr>
      <w:r>
        <w:rPr>
          <w:rFonts w:hint="eastAsia" w:ascii="仿宋" w:hAnsi="仿宋" w:eastAsia="仿宋" w:cs="仿宋"/>
          <w:b/>
          <w:bCs/>
          <w:sz w:val="30"/>
          <w:szCs w:val="30"/>
        </w:rPr>
        <w:t>专家签字：</w:t>
      </w:r>
      <w:r>
        <w:rPr>
          <w:rFonts w:hint="eastAsia" w:ascii="仿宋" w:hAnsi="仿宋" w:eastAsia="仿宋" w:cs="仿宋"/>
          <w:b/>
          <w:bCs/>
          <w:sz w:val="30"/>
          <w:szCs w:val="30"/>
          <w:u w:val="single"/>
        </w:rPr>
        <w:t xml:space="preserve">                                </w:t>
      </w:r>
      <w:r>
        <w:rPr>
          <w:rFonts w:hint="eastAsia" w:ascii="仿宋" w:hAnsi="仿宋" w:eastAsia="仿宋" w:cs="仿宋"/>
          <w:b/>
          <w:bCs/>
          <w:sz w:val="30"/>
          <w:szCs w:val="30"/>
        </w:rPr>
        <w:t xml:space="preserve">                                   </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年</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月</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rPr>
        <w:t>日</w:t>
      </w:r>
    </w:p>
    <w:sectPr>
      <w:footerReference r:id="rId3" w:type="default"/>
      <w:pgSz w:w="16838" w:h="11906" w:orient="landscape"/>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0525D">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207352">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D207352">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7E5720"/>
    <w:rsid w:val="001D52E8"/>
    <w:rsid w:val="001E2AF4"/>
    <w:rsid w:val="00306D39"/>
    <w:rsid w:val="003C3500"/>
    <w:rsid w:val="00463556"/>
    <w:rsid w:val="004E6755"/>
    <w:rsid w:val="0051258F"/>
    <w:rsid w:val="00531408"/>
    <w:rsid w:val="005C29AB"/>
    <w:rsid w:val="005C67B8"/>
    <w:rsid w:val="006349A0"/>
    <w:rsid w:val="006A38E2"/>
    <w:rsid w:val="007D070D"/>
    <w:rsid w:val="00823907"/>
    <w:rsid w:val="008334CA"/>
    <w:rsid w:val="009C5D96"/>
    <w:rsid w:val="009C7029"/>
    <w:rsid w:val="00A85554"/>
    <w:rsid w:val="00AE5F38"/>
    <w:rsid w:val="00C17343"/>
    <w:rsid w:val="00D40330"/>
    <w:rsid w:val="00DD6F23"/>
    <w:rsid w:val="00E50D6E"/>
    <w:rsid w:val="00EC69EB"/>
    <w:rsid w:val="00EE02FC"/>
    <w:rsid w:val="00EF53BC"/>
    <w:rsid w:val="00F75EF1"/>
    <w:rsid w:val="00FB2C85"/>
    <w:rsid w:val="00FC39E0"/>
    <w:rsid w:val="00FE16CD"/>
    <w:rsid w:val="07733550"/>
    <w:rsid w:val="0CF815A1"/>
    <w:rsid w:val="0DF20A80"/>
    <w:rsid w:val="15510782"/>
    <w:rsid w:val="157B3666"/>
    <w:rsid w:val="24CF521F"/>
    <w:rsid w:val="39087DC4"/>
    <w:rsid w:val="3B706815"/>
    <w:rsid w:val="3EFC2A3B"/>
    <w:rsid w:val="5DFFDA68"/>
    <w:rsid w:val="5F85532D"/>
    <w:rsid w:val="5FAD406B"/>
    <w:rsid w:val="64782954"/>
    <w:rsid w:val="6FB1464D"/>
    <w:rsid w:val="707E5720"/>
    <w:rsid w:val="9FBF8D39"/>
    <w:rsid w:val="BFDF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4878</Words>
  <Characters>5116</Characters>
  <Lines>16</Lines>
  <Paragraphs>4</Paragraphs>
  <TotalTime>21</TotalTime>
  <ScaleCrop>false</ScaleCrop>
  <LinksUpToDate>false</LinksUpToDate>
  <CharactersWithSpaces>5345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2025-04-25T01:50:00Z</dcterms:created>
  <dc:creator>心云间</dc:creator>
  <cp:lastModifiedBy>一半</cp:lastModifiedBy>
  <dcterms:modified xsi:type="dcterms:W3CDTF">2025-11-24T00:26:56Z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2E843D4ABB3AC26A014E1C692974EC3C_43</vt:lpwstr>
  </property>
  <property fmtid="{D5CDD505-2E9C-101B-9397-08002B2CF9AE}" pid="4" name="KSOTemplateDocerSaveRecord">
    <vt:lpwstr>eyJoZGlkIjoiOGZkOTc2N2JjMGUyMmEyMTk1ZDRlNzNiNDM5ZTI4NWEiLCJ1c2VySWQiOiIxMTM3MTQ0OTYzIn0=</vt:lpwstr>
  </property>
</Properties>
</file>