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1AF13">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附件1：</w:t>
      </w:r>
    </w:p>
    <w:p w14:paraId="2EDB4D9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福州英华职业学院专业诊断与改进评估专家评估问题清单及整改建议</w:t>
      </w:r>
      <w:bookmarkStart w:id="0" w:name="_GoBack"/>
      <w:bookmarkEnd w:id="0"/>
    </w:p>
    <w:p w14:paraId="3100CC7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系部：</w:t>
      </w:r>
      <w:r>
        <w:rPr>
          <w:rFonts w:hint="eastAsia" w:ascii="仿宋" w:hAnsi="仿宋" w:eastAsia="仿宋" w:cs="仿宋"/>
          <w:b/>
          <w:bCs/>
          <w:sz w:val="24"/>
          <w:szCs w:val="24"/>
          <w:u w:val="single"/>
          <w:lang w:val="en-US" w:eastAsia="zh-CN"/>
        </w:rPr>
        <w:t xml:space="preserve">    教育与外语系                </w:t>
      </w:r>
      <w:r>
        <w:rPr>
          <w:rFonts w:hint="eastAsia" w:ascii="仿宋" w:hAnsi="仿宋" w:eastAsia="仿宋" w:cs="仿宋"/>
          <w:b/>
          <w:bCs/>
          <w:sz w:val="24"/>
          <w:szCs w:val="24"/>
          <w:lang w:val="en-US" w:eastAsia="zh-CN"/>
        </w:rPr>
        <w:t xml:space="preserve">                                 专业：</w:t>
      </w:r>
      <w:r>
        <w:rPr>
          <w:rFonts w:hint="eastAsia" w:ascii="仿宋" w:hAnsi="仿宋" w:eastAsia="仿宋" w:cs="仿宋"/>
          <w:b/>
          <w:bCs/>
          <w:sz w:val="24"/>
          <w:szCs w:val="24"/>
          <w:u w:val="single"/>
          <w:lang w:val="en-US" w:eastAsia="zh-CN"/>
        </w:rPr>
        <w:t xml:space="preserve">     应用英语                      </w:t>
      </w:r>
      <w:r>
        <w:rPr>
          <w:rFonts w:hint="eastAsia" w:ascii="仿宋" w:hAnsi="仿宋" w:eastAsia="仿宋" w:cs="仿宋"/>
          <w:b/>
          <w:bCs/>
          <w:sz w:val="24"/>
          <w:szCs w:val="24"/>
          <w:lang w:val="en-US" w:eastAsia="zh-CN"/>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2746"/>
        <w:gridCol w:w="4837"/>
        <w:gridCol w:w="4698"/>
      </w:tblGrid>
      <w:tr w14:paraId="7C76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950" w:type="dxa"/>
            <w:vAlign w:val="center"/>
          </w:tcPr>
          <w:p w14:paraId="1B6D3340">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一级指标</w:t>
            </w:r>
          </w:p>
        </w:tc>
        <w:tc>
          <w:tcPr>
            <w:tcW w:w="2769" w:type="dxa"/>
            <w:vAlign w:val="center"/>
          </w:tcPr>
          <w:p w14:paraId="1354B971">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二级指标</w:t>
            </w:r>
          </w:p>
        </w:tc>
        <w:tc>
          <w:tcPr>
            <w:tcW w:w="4800" w:type="dxa"/>
            <w:vAlign w:val="center"/>
          </w:tcPr>
          <w:p w14:paraId="4E654463">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问题表述</w:t>
            </w:r>
          </w:p>
        </w:tc>
        <w:tc>
          <w:tcPr>
            <w:tcW w:w="4701" w:type="dxa"/>
            <w:vAlign w:val="center"/>
          </w:tcPr>
          <w:p w14:paraId="73A9B14B">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整改建议</w:t>
            </w:r>
          </w:p>
        </w:tc>
      </w:tr>
      <w:tr w14:paraId="5F49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234552F4">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1.专业定位、规划与专业管理</w:t>
            </w:r>
          </w:p>
        </w:tc>
        <w:tc>
          <w:tcPr>
            <w:tcW w:w="2769" w:type="dxa"/>
            <w:vMerge w:val="restart"/>
            <w:vAlign w:val="center"/>
          </w:tcPr>
          <w:p w14:paraId="538307F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1.1专业定位</w:t>
            </w:r>
          </w:p>
        </w:tc>
        <w:tc>
          <w:tcPr>
            <w:tcW w:w="4800" w:type="dxa"/>
            <w:vAlign w:val="center"/>
          </w:tcPr>
          <w:p w14:paraId="2AFC0776">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专业调研深度不足、动态调整滞后</w:t>
            </w:r>
          </w:p>
        </w:tc>
        <w:tc>
          <w:tcPr>
            <w:tcW w:w="4701" w:type="dxa"/>
            <w:vAlign w:val="center"/>
          </w:tcPr>
          <w:p w14:paraId="1AE6BD10">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发动所有教师通过“访企拓岗”、跟进实习生、走访毕业生等形式与行业企业保持高频次、常规的互动。</w:t>
            </w:r>
          </w:p>
        </w:tc>
      </w:tr>
      <w:tr w14:paraId="4E50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9B21E6A">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08DDFC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EB3B703">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专业定位表述宽泛，对“英语+少儿教育”细分领域差异化特色凝练不足，与本科英语教育、普通学前教育边界不清。</w:t>
            </w:r>
          </w:p>
        </w:tc>
        <w:tc>
          <w:tcPr>
            <w:tcW w:w="4701" w:type="dxa"/>
            <w:vAlign w:val="center"/>
          </w:tcPr>
          <w:p w14:paraId="25644DC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在2025级人才培养方案中新增≤120字“专业特色定位语”，精准描述“英语+少儿教育”双轮驱动、服务区域普惠性双语幼教的不可替代性。</w:t>
            </w:r>
          </w:p>
        </w:tc>
      </w:tr>
      <w:tr w14:paraId="70677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89EE9D5">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EE54FA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2DEA49A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目标服务年龄段虽聚焦3-12岁，但对不同年龄段能力模块分解不够，课程对接岗位颗粒度粗。</w:t>
            </w:r>
          </w:p>
        </w:tc>
        <w:tc>
          <w:tcPr>
            <w:tcW w:w="4701" w:type="dxa"/>
            <w:vAlign w:val="center"/>
          </w:tcPr>
          <w:p w14:paraId="15C5450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将3-12岁细分为“3-6岁幼儿启蒙、6-9岁低年级素养、9-12岁高年级衔接”三个子方向，设置模块化选修包，并在招生简章中可视化呈现。</w:t>
            </w:r>
          </w:p>
        </w:tc>
      </w:tr>
      <w:tr w14:paraId="5045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240FA6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C3E95F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F4EBB32">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行业兼职教师数量仅为2，数量不足。</w:t>
            </w:r>
          </w:p>
        </w:tc>
        <w:tc>
          <w:tcPr>
            <w:tcW w:w="4701" w:type="dxa"/>
            <w:vAlign w:val="center"/>
          </w:tcPr>
          <w:p w14:paraId="50A9A1B5">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增加行业兼职教师数量和类型，丰富师资队伍构成。</w:t>
            </w:r>
          </w:p>
        </w:tc>
      </w:tr>
      <w:tr w14:paraId="683B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B418044">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642C98A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1.2专业规划</w:t>
            </w:r>
          </w:p>
        </w:tc>
        <w:tc>
          <w:tcPr>
            <w:tcW w:w="4800" w:type="dxa"/>
            <w:vAlign w:val="center"/>
          </w:tcPr>
          <w:p w14:paraId="1D3758DC">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1.专业规划关注内部发展较多，对专业在省内的定位关注不足。</w:t>
            </w:r>
          </w:p>
        </w:tc>
        <w:tc>
          <w:tcPr>
            <w:tcW w:w="4701" w:type="dxa"/>
            <w:vAlign w:val="center"/>
          </w:tcPr>
          <w:p w14:paraId="5936A471">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对全省开设同类专业的院校进行深度调研，结合学院发展特色，谋划错位发展路径。</w:t>
            </w:r>
          </w:p>
        </w:tc>
      </w:tr>
      <w:tr w14:paraId="2657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D869598">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A42307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579D6F3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专业建设“十四五”规划中定量指标偏少，缺少可测度核心指标（如毕业生双证书率、企业订单班占比、AI教具开发数量）。</w:t>
            </w:r>
          </w:p>
        </w:tc>
        <w:tc>
          <w:tcPr>
            <w:tcW w:w="4701" w:type="dxa"/>
            <w:vAlign w:val="center"/>
          </w:tcPr>
          <w:p w14:paraId="2F568B4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修订《应用英语专业建设“十四五”规划（2025版）》，增设“7+3”量化指标体系：7项过程性指标、3项结果性指标。</w:t>
            </w:r>
          </w:p>
        </w:tc>
      </w:tr>
      <w:tr w14:paraId="2E9F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5DD1043">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A1B1BC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7A851BD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规划对行业新技术（AI口语测评、教育大模型）反应滞后，未设置“技术迭代”专项章节。</w:t>
            </w:r>
          </w:p>
        </w:tc>
        <w:tc>
          <w:tcPr>
            <w:tcW w:w="4701" w:type="dxa"/>
            <w:vAlign w:val="center"/>
          </w:tcPr>
          <w:p w14:paraId="0F07500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增设“技术前瞻”板块，每年11月前完成1次“AI+少儿英语”技术路线图滚动更新，建立“新技术-新课程”映射表。</w:t>
            </w:r>
          </w:p>
        </w:tc>
      </w:tr>
      <w:tr w14:paraId="3BC9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0EA10A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4B5E622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566E5A3B">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4.预计取得的成果层次不够高。</w:t>
            </w:r>
          </w:p>
        </w:tc>
        <w:tc>
          <w:tcPr>
            <w:tcW w:w="4701" w:type="dxa"/>
            <w:vAlign w:val="center"/>
          </w:tcPr>
          <w:p w14:paraId="19798D72">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w w:val="98"/>
                <w:sz w:val="24"/>
                <w:szCs w:val="24"/>
                <w:vertAlign w:val="baseline"/>
                <w:lang w:val="en-US" w:eastAsia="zh-CN"/>
              </w:rPr>
              <w:t>规划更多省级、国家级的教学质量工程项目。</w:t>
            </w:r>
          </w:p>
        </w:tc>
      </w:tr>
      <w:tr w14:paraId="4640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8FA4805">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158A806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1.3专业建设管理</w:t>
            </w:r>
          </w:p>
        </w:tc>
        <w:tc>
          <w:tcPr>
            <w:tcW w:w="4800" w:type="dxa"/>
            <w:shd w:val="clear" w:color="auto" w:fill="auto"/>
            <w:vAlign w:val="center"/>
          </w:tcPr>
          <w:p w14:paraId="74F74B09">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1.仅学前教育专业和应用英语专业2个专业无法成群。</w:t>
            </w:r>
          </w:p>
        </w:tc>
        <w:tc>
          <w:tcPr>
            <w:tcW w:w="4701" w:type="dxa"/>
            <w:vAlign w:val="center"/>
          </w:tcPr>
          <w:p w14:paraId="52D02704">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建议群专业数量增加到5个。</w:t>
            </w:r>
          </w:p>
        </w:tc>
      </w:tr>
      <w:tr w14:paraId="6929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AEC84F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123C14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2B06ADE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2.专业建设指导委员会年度例会次数不足，2023年仅召开1次，且缺少纪要中“问题-措施-责任人-完成时限”四要素闭环。</w:t>
            </w:r>
          </w:p>
        </w:tc>
        <w:tc>
          <w:tcPr>
            <w:tcW w:w="4701" w:type="dxa"/>
            <w:vAlign w:val="center"/>
          </w:tcPr>
          <w:p w14:paraId="71C124B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自2025年秋季学期起实行“每学期2+1”会议制度：期初布置会、期末诊断会+1次线上专题沙龙，会议纪要统一使用“四要素”模板，学院督导室负责督查并纳入年度考核。</w:t>
            </w:r>
          </w:p>
        </w:tc>
      </w:tr>
      <w:tr w14:paraId="4824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CC7298D">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C276D1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2F707A5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3.行业企业专家库规模小（目前6人），且集中在福州本地，缺少省级教研专家、AI教育技术企业代表。</w:t>
            </w:r>
          </w:p>
        </w:tc>
        <w:tc>
          <w:tcPr>
            <w:tcW w:w="4701" w:type="dxa"/>
            <w:vAlign w:val="center"/>
          </w:tcPr>
          <w:p w14:paraId="3C4EB0B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2025年12月前将专家库扩容至15人，新增省级教研员2人、AI教育技术企业技术总监2人、优秀校友3人，并建立“专家贡献度积分”与校企合作协议续签挂钩机制。</w:t>
            </w:r>
          </w:p>
        </w:tc>
      </w:tr>
      <w:tr w14:paraId="104E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104F337">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3C1E6F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BF46D95">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4.两个专业师资的合作更像是“单向输出”，而非“共享”。</w:t>
            </w:r>
          </w:p>
        </w:tc>
        <w:tc>
          <w:tcPr>
            <w:tcW w:w="4701" w:type="dxa"/>
            <w:vAlign w:val="center"/>
          </w:tcPr>
          <w:p w14:paraId="26E5A60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英语专业背景的教师考虑转型，承担部分学前教育相关核心课与拓展课。（2人具备少儿英语机构教学主管经历，3人持有幼儿教师资格证。）</w:t>
            </w:r>
          </w:p>
        </w:tc>
      </w:tr>
      <w:tr w14:paraId="2BAD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950" w:type="dxa"/>
            <w:vMerge w:val="restart"/>
            <w:vAlign w:val="center"/>
          </w:tcPr>
          <w:p w14:paraId="6F7A127D">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2.人才培养方案</w:t>
            </w:r>
          </w:p>
        </w:tc>
        <w:tc>
          <w:tcPr>
            <w:tcW w:w="2769" w:type="dxa"/>
            <w:vMerge w:val="restart"/>
            <w:vAlign w:val="center"/>
          </w:tcPr>
          <w:p w14:paraId="0048F7C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2.1培养目标</w:t>
            </w:r>
          </w:p>
        </w:tc>
        <w:tc>
          <w:tcPr>
            <w:tcW w:w="4800" w:type="dxa"/>
            <w:shd w:val="clear" w:color="auto" w:fill="auto"/>
            <w:vAlign w:val="center"/>
          </w:tcPr>
          <w:p w14:paraId="4E95F74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1.未明确四大岗位（双语幼儿园带班教师，双语幼儿园双语带班教师和教学辅助管理</w:t>
            </w:r>
          </w:p>
          <w:p w14:paraId="12A831B0">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人员）的能力要求。</w:t>
            </w:r>
          </w:p>
        </w:tc>
        <w:tc>
          <w:tcPr>
            <w:tcW w:w="4701" w:type="dxa"/>
            <w:vAlign w:val="center"/>
          </w:tcPr>
          <w:p w14:paraId="3FCD388F">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基于工作流程，细分培养目标，明确不同岗位的核心特色能力。形成与对应课程、实训项目的闭环。</w:t>
            </w:r>
          </w:p>
        </w:tc>
      </w:tr>
      <w:tr w14:paraId="6403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jc w:val="center"/>
        </w:trPr>
        <w:tc>
          <w:tcPr>
            <w:tcW w:w="1950" w:type="dxa"/>
            <w:vMerge w:val="continue"/>
            <w:vAlign w:val="center"/>
          </w:tcPr>
          <w:p w14:paraId="07FA135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4879DC6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3593994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培养目标中对“英语</w:t>
            </w:r>
            <w:r>
              <w:rPr>
                <w:rFonts w:hint="eastAsia" w:ascii="仿宋" w:hAnsi="仿宋" w:eastAsia="仿宋" w:cs="仿宋"/>
                <w:sz w:val="24"/>
                <w:szCs w:val="24"/>
                <w:vertAlign w:val="baseline"/>
                <w:lang w:val="en-US" w:eastAsia="zh-CN"/>
              </w:rPr>
              <w:t>+</w:t>
            </w:r>
            <w:r>
              <w:rPr>
                <w:rFonts w:hint="default" w:ascii="仿宋" w:hAnsi="仿宋" w:eastAsia="仿宋" w:cs="仿宋"/>
                <w:sz w:val="24"/>
                <w:szCs w:val="24"/>
                <w:vertAlign w:val="baseline"/>
                <w:lang w:val="en-US" w:eastAsia="zh-CN"/>
              </w:rPr>
              <w:t>少儿教育”复合能力的描述较为笼统，缺乏具体可衡量的能力指标，如未明确学生应具备的英语语言能力等级和幼教技能的具体标准（如课程设计能力、课堂管理能力）。</w:t>
            </w:r>
          </w:p>
        </w:tc>
        <w:tc>
          <w:tcPr>
            <w:tcW w:w="4701" w:type="dxa"/>
            <w:vAlign w:val="center"/>
          </w:tcPr>
          <w:p w14:paraId="159A13A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明确培养目标中英语语言能力的具体标准，如要求学生毕业时达到大学英语四级或六级水平，或高等学校英语应用能力考试等</w:t>
            </w:r>
            <w:r>
              <w:rPr>
                <w:rFonts w:hint="eastAsia" w:ascii="仿宋" w:hAnsi="仿宋" w:eastAsia="仿宋" w:cs="仿宋"/>
                <w:sz w:val="24"/>
                <w:szCs w:val="24"/>
                <w:vertAlign w:val="baseline"/>
                <w:lang w:val="en-US" w:eastAsia="zh-CN"/>
              </w:rPr>
              <w:t>国内</w:t>
            </w:r>
            <w:r>
              <w:rPr>
                <w:rFonts w:hint="default" w:ascii="仿宋" w:hAnsi="仿宋" w:eastAsia="仿宋" w:cs="仿宋"/>
                <w:sz w:val="24"/>
                <w:szCs w:val="24"/>
                <w:vertAlign w:val="baseline"/>
                <w:lang w:val="en-US" w:eastAsia="zh-CN"/>
              </w:rPr>
              <w:t>认可的语言考试成绩。同时，细化幼教技能标准，如能独立设计并实施至少10个不同主题的少儿英语教学活动，具备处理课堂突发情况的能力。</w:t>
            </w:r>
          </w:p>
        </w:tc>
      </w:tr>
      <w:tr w14:paraId="3B92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1950" w:type="dxa"/>
            <w:vMerge w:val="continue"/>
            <w:vAlign w:val="center"/>
          </w:tcPr>
          <w:p w14:paraId="41F60011">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2BCB4E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C54A08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培养目标未充分考虑学生未来职业发展的多样性，如未提及学生在教育管理、课程研发等方向的潜在能力培养。</w:t>
            </w:r>
          </w:p>
        </w:tc>
        <w:tc>
          <w:tcPr>
            <w:tcW w:w="4701" w:type="dxa"/>
            <w:vAlign w:val="center"/>
          </w:tcPr>
          <w:p w14:paraId="3343CAA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在培养目标中增加对学生未来职业发展多样性的支持，如培养学生的教育管理能力、课程研发能力、教育技术应用能力等，为学生提供更广阔的职业发展空间。</w:t>
            </w:r>
          </w:p>
        </w:tc>
      </w:tr>
      <w:tr w14:paraId="6EB5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CF1C0D4">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0590BBB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2.2人才培养模式</w:t>
            </w:r>
          </w:p>
        </w:tc>
        <w:tc>
          <w:tcPr>
            <w:tcW w:w="4800" w:type="dxa"/>
            <w:shd w:val="clear" w:color="auto" w:fill="auto"/>
            <w:vAlign w:val="center"/>
          </w:tcPr>
          <w:p w14:paraId="730A34B6">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1.专业建设指导委员会过程记录缺失。</w:t>
            </w:r>
          </w:p>
        </w:tc>
        <w:tc>
          <w:tcPr>
            <w:tcW w:w="4701" w:type="dxa"/>
            <w:vAlign w:val="center"/>
          </w:tcPr>
          <w:p w14:paraId="39E17184">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做好校外专家发言纪要记录，作为人才培养方案调整的依据。</w:t>
            </w:r>
          </w:p>
        </w:tc>
      </w:tr>
      <w:tr w14:paraId="2C71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3271689">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2463CC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185E61D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人才培养模式中</w:t>
            </w:r>
            <w:r>
              <w:rPr>
                <w:rFonts w:hint="eastAsia" w:ascii="仿宋" w:hAnsi="仿宋" w:eastAsia="仿宋" w:cs="仿宋"/>
                <w:sz w:val="24"/>
                <w:szCs w:val="24"/>
                <w:vertAlign w:val="baseline"/>
                <w:lang w:val="en-US" w:eastAsia="zh-CN"/>
              </w:rPr>
              <w:t>“</w:t>
            </w:r>
            <w:r>
              <w:rPr>
                <w:rFonts w:hint="default" w:ascii="仿宋" w:hAnsi="仿宋" w:eastAsia="仿宋" w:cs="仿宋"/>
                <w:sz w:val="24"/>
                <w:szCs w:val="24"/>
                <w:vertAlign w:val="baseline"/>
                <w:lang w:val="en-US" w:eastAsia="zh-CN"/>
              </w:rPr>
              <w:t>工学结合</w:t>
            </w:r>
            <w:r>
              <w:rPr>
                <w:rFonts w:hint="eastAsia" w:ascii="仿宋" w:hAnsi="仿宋" w:eastAsia="仿宋" w:cs="仿宋"/>
                <w:sz w:val="24"/>
                <w:szCs w:val="24"/>
                <w:vertAlign w:val="baseline"/>
                <w:lang w:val="en-US" w:eastAsia="zh-CN"/>
              </w:rPr>
              <w:t>”</w:t>
            </w:r>
            <w:r>
              <w:rPr>
                <w:rFonts w:hint="default" w:ascii="仿宋" w:hAnsi="仿宋" w:eastAsia="仿宋" w:cs="仿宋"/>
                <w:sz w:val="24"/>
                <w:szCs w:val="24"/>
                <w:vertAlign w:val="baseline"/>
                <w:lang w:val="en-US" w:eastAsia="zh-CN"/>
              </w:rPr>
              <w:t>实践环节的深度和广度不足，学生在企业实习期间的岗位轮换和项目参与机会有限，未能充分覆盖少儿英语教育行业的多个核心岗位。</w:t>
            </w:r>
          </w:p>
        </w:tc>
        <w:tc>
          <w:tcPr>
            <w:tcW w:w="4701" w:type="dxa"/>
            <w:vAlign w:val="center"/>
          </w:tcPr>
          <w:p w14:paraId="7509BA6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加强与合作企业的深度合作，设计更丰富的岗位轮换计划，确保学生在实习期间能够接触并参与幼儿园双语教师、少儿英语培训机构教师、教育咨询师等多个核心岗位的工作。同时，增加学生参与企业项目的比例，如课程研发、教学活动策划等。</w:t>
            </w:r>
          </w:p>
        </w:tc>
      </w:tr>
      <w:tr w14:paraId="62F0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80D4A83">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B0676A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43665BAD">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人才培养模式未充分融入行业新技术（如AI教育工具、在线教育平台）的应用，学生对新兴技术在少儿英语教育中的应用了解不足。</w:t>
            </w:r>
          </w:p>
        </w:tc>
        <w:tc>
          <w:tcPr>
            <w:tcW w:w="4701" w:type="dxa"/>
            <w:vAlign w:val="center"/>
          </w:tcPr>
          <w:p w14:paraId="445164C0">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在人才培养模式中增加对行业新技术的学习与实践，开设相关课程（如“AI在少儿英语教育中的应用”）或模块，邀请行业专家进行讲座和培训，组织学生参与在线教育平台的教学实践项目，提升学生对新技术的应用能力。</w:t>
            </w:r>
          </w:p>
        </w:tc>
      </w:tr>
      <w:tr w14:paraId="50A1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ACD87B7">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2754664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083327BC">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4.专业人才培养模式提炼和打磨不足。</w:t>
            </w:r>
          </w:p>
        </w:tc>
        <w:tc>
          <w:tcPr>
            <w:tcW w:w="4701" w:type="dxa"/>
            <w:vAlign w:val="center"/>
          </w:tcPr>
          <w:p w14:paraId="31DC72B0">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查阅近2年省、国家级教学成果奖，学习其他院校人才培养模式提炼。</w:t>
            </w:r>
          </w:p>
        </w:tc>
      </w:tr>
      <w:tr w14:paraId="3BDF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5D38F95">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00A98E8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 课程体系</w:t>
            </w:r>
          </w:p>
        </w:tc>
        <w:tc>
          <w:tcPr>
            <w:tcW w:w="4800" w:type="dxa"/>
            <w:vAlign w:val="center"/>
          </w:tcPr>
          <w:p w14:paraId="5C1C632C">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 应用英语专业核心课程设置。</w:t>
            </w:r>
          </w:p>
        </w:tc>
        <w:tc>
          <w:tcPr>
            <w:tcW w:w="4701" w:type="dxa"/>
            <w:vAlign w:val="center"/>
          </w:tcPr>
          <w:p w14:paraId="256B6404">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《跨文化交际》是否设为核心课，需要商榷。</w:t>
            </w:r>
          </w:p>
        </w:tc>
      </w:tr>
      <w:tr w14:paraId="506B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6B2D30E">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EAF23F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2ABBE50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课程体系中部分课程内容与职业岗位需求的衔接不够紧密，如“英语语言基础”课程中部分语法和词汇教学内容与少儿英语教学实际应用脱节。</w:t>
            </w:r>
          </w:p>
        </w:tc>
        <w:tc>
          <w:tcPr>
            <w:tcW w:w="4701" w:type="dxa"/>
            <w:vAlign w:val="center"/>
          </w:tcPr>
          <w:p w14:paraId="61316AF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对课程体系进行全面梳理，邀请行业专家参与课程内容的修订，确保每门课程的教学内容都能紧密对接职业岗位的实际需求。例如，在“英语语言基础”课程中增加与少儿英语教学相关的语法和词汇教学模块，如儿童英语故事中的语法结构、常用词汇等。</w:t>
            </w:r>
          </w:p>
        </w:tc>
      </w:tr>
      <w:tr w14:paraId="32130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7A8F7F7">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A2510A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7104CD8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课程体系缺乏对跨文化交际能力的系统培养，学生在面对不同文化背景的少儿英语学习者时，缺乏有效的教学策略。</w:t>
            </w:r>
          </w:p>
        </w:tc>
        <w:tc>
          <w:tcPr>
            <w:tcW w:w="4701" w:type="dxa"/>
            <w:vAlign w:val="center"/>
          </w:tcPr>
          <w:p w14:paraId="2D2BC9E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在课程体系中增加跨文化交际课程或模块，如“跨文化少儿英语教学策略”，通过案例分析、模拟教学等方式，培养学生在跨文化背景下的教学能力，提升学生的跨文化交际意识和教学技巧。</w:t>
            </w:r>
          </w:p>
        </w:tc>
      </w:tr>
      <w:tr w14:paraId="5EFA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F963EA8">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DACC38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7F55F74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r>
              <w:rPr>
                <w:rFonts w:hint="default" w:ascii="仿宋" w:hAnsi="仿宋" w:eastAsia="仿宋" w:cs="仿宋"/>
                <w:sz w:val="24"/>
                <w:szCs w:val="24"/>
                <w:vertAlign w:val="baseline"/>
                <w:lang w:val="en-US" w:eastAsia="zh-CN"/>
              </w:rPr>
              <w:t>实践课程比例虽高，但实践课程的系统性和连贯性不足，各实践课程之间缺乏有机整合，学生在实践过程中难以形成完整的教学能力体系。</w:t>
            </w:r>
          </w:p>
        </w:tc>
        <w:tc>
          <w:tcPr>
            <w:tcW w:w="4701" w:type="dxa"/>
            <w:vAlign w:val="center"/>
          </w:tcPr>
          <w:p w14:paraId="21D4D0D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优化实践课程体系，建立从基础实践到综合实践的递进式实践课程体系。例如，将实践课程分为“基础实践”（如教学观摩、教学设计）、“专项实践”（如教学方法训练、教学活动组织）和“综合实践”（如顶岗实习、项目实践）三个层次，确保学生在不同阶段的实践课程中逐步提升教学能力。</w:t>
            </w:r>
          </w:p>
        </w:tc>
      </w:tr>
      <w:tr w14:paraId="036A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6C05DD8">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BCD0CE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17D13C5">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5.对学生个性化需求考虑不足。</w:t>
            </w:r>
          </w:p>
        </w:tc>
        <w:tc>
          <w:tcPr>
            <w:tcW w:w="4701" w:type="dxa"/>
            <w:vAlign w:val="center"/>
          </w:tcPr>
          <w:p w14:paraId="397EA81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拓展课建议根据学生就业方向、能力、兴趣等分为几个模块，增加课程弹性。（幼儿园教师、幼儿园双语教师以及教学辅助管理三类。）</w:t>
            </w:r>
          </w:p>
        </w:tc>
      </w:tr>
      <w:tr w14:paraId="0F84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7F8ED0A2">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3.课程建设</w:t>
            </w:r>
          </w:p>
        </w:tc>
        <w:tc>
          <w:tcPr>
            <w:tcW w:w="2769" w:type="dxa"/>
            <w:vMerge w:val="restart"/>
            <w:vAlign w:val="center"/>
          </w:tcPr>
          <w:p w14:paraId="14AA107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3.1课程标准</w:t>
            </w:r>
          </w:p>
        </w:tc>
        <w:tc>
          <w:tcPr>
            <w:tcW w:w="4800" w:type="dxa"/>
            <w:vAlign w:val="center"/>
          </w:tcPr>
          <w:p w14:paraId="71C59095">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1.注意课程标准的内容的排版</w:t>
            </w:r>
          </w:p>
        </w:tc>
        <w:tc>
          <w:tcPr>
            <w:tcW w:w="4701" w:type="dxa"/>
            <w:vAlign w:val="center"/>
          </w:tcPr>
          <w:p w14:paraId="127F6637">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格式、标点符号等细微问题统一修改。</w:t>
            </w:r>
          </w:p>
        </w:tc>
      </w:tr>
      <w:tr w14:paraId="54E1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9F6B280">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9A1511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53B84C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部分课程标准更新不够及时，与行业最新岗位标准对接不够紧密。</w:t>
            </w:r>
          </w:p>
        </w:tc>
        <w:tc>
          <w:tcPr>
            <w:tcW w:w="4701" w:type="dxa"/>
            <w:vAlign w:val="center"/>
          </w:tcPr>
          <w:p w14:paraId="6AB4072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建立课程标准动态修订机制，定期组织行业调研，确保标准与岗位需求同步更新。</w:t>
            </w:r>
          </w:p>
        </w:tc>
      </w:tr>
      <w:tr w14:paraId="0EF2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9651BC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A2C241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2CB8A91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课程目标中对“课程思政”融入的表述不够具体，缺乏可操作的评价指标。</w:t>
            </w:r>
          </w:p>
        </w:tc>
        <w:tc>
          <w:tcPr>
            <w:tcW w:w="4701" w:type="dxa"/>
            <w:vAlign w:val="center"/>
          </w:tcPr>
          <w:p w14:paraId="751F366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明确课程思政目标，结合专业特点设计具体教学案例与评价方式，纳入课程考核体系。</w:t>
            </w:r>
          </w:p>
        </w:tc>
      </w:tr>
      <w:tr w14:paraId="2E64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950" w:type="dxa"/>
            <w:vMerge w:val="continue"/>
            <w:vAlign w:val="center"/>
          </w:tcPr>
          <w:p w14:paraId="1DE8464F">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20D4FEC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3.2课程实施</w:t>
            </w:r>
          </w:p>
        </w:tc>
        <w:tc>
          <w:tcPr>
            <w:tcW w:w="4800" w:type="dxa"/>
            <w:vAlign w:val="center"/>
          </w:tcPr>
          <w:p w14:paraId="13D8172F">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1.缺少对某些课程实施的案例提炼。</w:t>
            </w:r>
          </w:p>
        </w:tc>
        <w:tc>
          <w:tcPr>
            <w:tcW w:w="4701" w:type="dxa"/>
            <w:vAlign w:val="center"/>
          </w:tcPr>
          <w:p w14:paraId="5B113BD5">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鼓励教师记录、提炼教学改革过程资料，形成案例。</w:t>
            </w:r>
          </w:p>
        </w:tc>
      </w:tr>
      <w:tr w14:paraId="685D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950" w:type="dxa"/>
            <w:vMerge w:val="continue"/>
            <w:vAlign w:val="center"/>
          </w:tcPr>
          <w:p w14:paraId="1043F835">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6978BA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005E470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教学方法和手段虽多样，但部分教师对信息化教学工具掌握不深，影响教学效果。</w:t>
            </w:r>
          </w:p>
        </w:tc>
        <w:tc>
          <w:tcPr>
            <w:tcW w:w="4701" w:type="dxa"/>
            <w:vAlign w:val="center"/>
          </w:tcPr>
          <w:p w14:paraId="096FDC7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加强教师信息技术培训，开展教学工具使用与融合教学的专题研讨与实操培训。</w:t>
            </w:r>
          </w:p>
        </w:tc>
      </w:tr>
      <w:tr w14:paraId="134F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950" w:type="dxa"/>
            <w:vMerge w:val="continue"/>
            <w:vAlign w:val="center"/>
          </w:tcPr>
          <w:p w14:paraId="36AD99A0">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7A2D8B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7D82EF7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学生自主学习能力参差不齐，部分学生存在“刷课”“挂机”现象，学习效果不佳。</w:t>
            </w:r>
          </w:p>
        </w:tc>
        <w:tc>
          <w:tcPr>
            <w:tcW w:w="4701" w:type="dxa"/>
            <w:vAlign w:val="center"/>
          </w:tcPr>
          <w:p w14:paraId="42A3593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强化学习过程管理，平台引入学习行为分析与预警机制，建立学习积分、勋章等激励机制，提升学生参与度与自律性。</w:t>
            </w:r>
          </w:p>
        </w:tc>
      </w:tr>
      <w:tr w14:paraId="25D3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75D0859">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3D881C2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3.3课程资源</w:t>
            </w:r>
          </w:p>
        </w:tc>
        <w:tc>
          <w:tcPr>
            <w:tcW w:w="4800" w:type="dxa"/>
            <w:vAlign w:val="center"/>
          </w:tcPr>
          <w:p w14:paraId="7B23A8BF">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1.缺乏教学资源的统一入口。</w:t>
            </w:r>
          </w:p>
        </w:tc>
        <w:tc>
          <w:tcPr>
            <w:tcW w:w="4701" w:type="dxa"/>
            <w:vAlign w:val="center"/>
          </w:tcPr>
          <w:p w14:paraId="3848E7C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打造数字化资源门户，推动数字资源覆盖所有专业课程、教材和虚拟仿真实验，实施教学资源数字化改造。</w:t>
            </w:r>
          </w:p>
        </w:tc>
      </w:tr>
      <w:tr w14:paraId="5C23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6F44897">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997A91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07A35FA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网络教学资源虽丰富，但部分资源分类不清晰，更新不及时，影响使用效率。</w:t>
            </w:r>
          </w:p>
        </w:tc>
        <w:tc>
          <w:tcPr>
            <w:tcW w:w="4701" w:type="dxa"/>
            <w:vAlign w:val="center"/>
          </w:tcPr>
          <w:p w14:paraId="2A5A79F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优化资源库结构，建立统一资源分类标准与标签体系，明确资源维护责任人，定期更新。</w:t>
            </w:r>
          </w:p>
        </w:tc>
      </w:tr>
      <w:tr w14:paraId="5978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7F5491E">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9F7E2D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605A5E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教学资源与课程内容融合度不高，部分资源仅作为“附加材料”，未能有效支撑教学目标。</w:t>
            </w:r>
          </w:p>
        </w:tc>
        <w:tc>
          <w:tcPr>
            <w:tcW w:w="4701" w:type="dxa"/>
            <w:vAlign w:val="center"/>
          </w:tcPr>
          <w:p w14:paraId="0562117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推动资源与课程深度融合，鼓励教师围绕教学重难点开发配套资源，将资源使用纳入教学设计与评价体系。</w:t>
            </w:r>
          </w:p>
        </w:tc>
      </w:tr>
      <w:tr w14:paraId="59696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3D541D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C8ACE5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04F94221">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4.省级精品课数量不足。</w:t>
            </w:r>
          </w:p>
        </w:tc>
        <w:tc>
          <w:tcPr>
            <w:tcW w:w="4701" w:type="dxa"/>
            <w:vAlign w:val="center"/>
          </w:tcPr>
          <w:p w14:paraId="02A398F0">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打磨、提炼、积极申报。</w:t>
            </w:r>
          </w:p>
        </w:tc>
      </w:tr>
      <w:tr w14:paraId="12E2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950" w:type="dxa"/>
            <w:vMerge w:val="restart"/>
            <w:vAlign w:val="center"/>
          </w:tcPr>
          <w:p w14:paraId="30AB2139">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4.实践教学</w:t>
            </w:r>
          </w:p>
        </w:tc>
        <w:tc>
          <w:tcPr>
            <w:tcW w:w="2769" w:type="dxa"/>
            <w:vMerge w:val="restart"/>
            <w:vAlign w:val="center"/>
          </w:tcPr>
          <w:p w14:paraId="59378B6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4.1校内实践教学条件</w:t>
            </w:r>
          </w:p>
        </w:tc>
        <w:tc>
          <w:tcPr>
            <w:tcW w:w="4800" w:type="dxa"/>
            <w:vAlign w:val="center"/>
          </w:tcPr>
          <w:p w14:paraId="06C82497">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1.实训室建设投入不足，和专业最相关的实训室仅1间“视听说实训室”。</w:t>
            </w:r>
          </w:p>
        </w:tc>
        <w:tc>
          <w:tcPr>
            <w:tcW w:w="4701" w:type="dxa"/>
            <w:vAlign w:val="center"/>
          </w:tcPr>
          <w:p w14:paraId="601D2BC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加大投入，对实训室进行智能化升级。</w:t>
            </w:r>
          </w:p>
        </w:tc>
      </w:tr>
      <w:tr w14:paraId="73039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950" w:type="dxa"/>
            <w:vMerge w:val="continue"/>
            <w:vAlign w:val="center"/>
          </w:tcPr>
          <w:p w14:paraId="10E3E9AE">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2B32E0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001550F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部分实训室设备老化，维护更新不及时，影响实训效果。</w:t>
            </w:r>
          </w:p>
        </w:tc>
        <w:tc>
          <w:tcPr>
            <w:tcW w:w="4701" w:type="dxa"/>
            <w:vAlign w:val="center"/>
          </w:tcPr>
          <w:p w14:paraId="1FCACD1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建立实训设备定期检查与更新机制，制定年度维修与更换计划，保障设备运行良好。</w:t>
            </w:r>
          </w:p>
        </w:tc>
      </w:tr>
      <w:tr w14:paraId="647F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950" w:type="dxa"/>
            <w:vMerge w:val="continue"/>
            <w:vAlign w:val="center"/>
          </w:tcPr>
          <w:p w14:paraId="565A769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7D48D5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052795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个别实训室功能单一，未能充分支撑多样化实践教学需求。</w:t>
            </w:r>
          </w:p>
        </w:tc>
        <w:tc>
          <w:tcPr>
            <w:tcW w:w="4701" w:type="dxa"/>
            <w:vAlign w:val="center"/>
          </w:tcPr>
          <w:p w14:paraId="431C9EC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优化实训室功能布局，推动多功能复合型实训空间建设，提升资源利用率。</w:t>
            </w:r>
          </w:p>
        </w:tc>
      </w:tr>
      <w:tr w14:paraId="5FD9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950" w:type="dxa"/>
            <w:vMerge w:val="continue"/>
            <w:vAlign w:val="center"/>
          </w:tcPr>
          <w:p w14:paraId="7BABB531">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056CCF0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4.2 校外实践教学条件</w:t>
            </w:r>
          </w:p>
        </w:tc>
        <w:tc>
          <w:tcPr>
            <w:tcW w:w="4800" w:type="dxa"/>
            <w:vAlign w:val="center"/>
          </w:tcPr>
          <w:p w14:paraId="1115C2E7">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1.继续开发高端双语幼儿园/连锁教育集团。</w:t>
            </w:r>
          </w:p>
        </w:tc>
        <w:tc>
          <w:tcPr>
            <w:tcW w:w="4701" w:type="dxa"/>
            <w:vAlign w:val="center"/>
          </w:tcPr>
          <w:p w14:paraId="5078DEEA">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共同研发高阶实训项目。</w:t>
            </w:r>
          </w:p>
        </w:tc>
      </w:tr>
      <w:tr w14:paraId="68E91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1950" w:type="dxa"/>
            <w:vMerge w:val="continue"/>
            <w:vAlign w:val="center"/>
          </w:tcPr>
          <w:p w14:paraId="4FAC0546">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DF0565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126A1CC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部分校外实训基地合作深度不足，企业参与度不高，实训内容趋于形式化。</w:t>
            </w:r>
          </w:p>
        </w:tc>
        <w:tc>
          <w:tcPr>
            <w:tcW w:w="4701" w:type="dxa"/>
            <w:vAlign w:val="center"/>
          </w:tcPr>
          <w:p w14:paraId="11C6098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深化校企合作机制，推动企业参与课程设计与实训指导，建立“共建共管”实训基地。</w:t>
            </w:r>
          </w:p>
        </w:tc>
      </w:tr>
      <w:tr w14:paraId="26B43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950" w:type="dxa"/>
            <w:vMerge w:val="continue"/>
            <w:vAlign w:val="center"/>
          </w:tcPr>
          <w:p w14:paraId="1570AE1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EB3F6F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52BBA18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校外实训基地区域分布不均，部分学生实习距离远、交通不便。</w:t>
            </w:r>
          </w:p>
        </w:tc>
        <w:tc>
          <w:tcPr>
            <w:tcW w:w="4701" w:type="dxa"/>
            <w:vAlign w:val="center"/>
          </w:tcPr>
          <w:p w14:paraId="5A6C17A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拓展本地及周边优质实训基地，优化基地布局，提升学生实习便利性与安全性。</w:t>
            </w:r>
          </w:p>
        </w:tc>
      </w:tr>
      <w:tr w14:paraId="72E7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950" w:type="dxa"/>
            <w:vMerge w:val="continue"/>
            <w:vAlign w:val="center"/>
          </w:tcPr>
          <w:p w14:paraId="3C310E7C">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27E1586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4.3实践教学内容与管理</w:t>
            </w:r>
          </w:p>
        </w:tc>
        <w:tc>
          <w:tcPr>
            <w:tcW w:w="4800" w:type="dxa"/>
            <w:vAlign w:val="center"/>
          </w:tcPr>
          <w:p w14:paraId="5FE4848E">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1.对行业新出现的 AI 少儿英语课件制作、少儿英语课程研发等实践项目的开发不足。</w:t>
            </w:r>
          </w:p>
        </w:tc>
        <w:tc>
          <w:tcPr>
            <w:tcW w:w="4701" w:type="dxa"/>
            <w:vAlign w:val="center"/>
          </w:tcPr>
          <w:p w14:paraId="2DA828B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每学期联合行业协会、用人单位开展需求调研，每年更新实践教学内容、新增行业前沿技能。</w:t>
            </w:r>
          </w:p>
        </w:tc>
      </w:tr>
      <w:tr w14:paraId="4EAF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950" w:type="dxa"/>
            <w:vMerge w:val="continue"/>
            <w:vAlign w:val="center"/>
          </w:tcPr>
          <w:p w14:paraId="21805387">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40848B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6DAE5FB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实践教学内容与岗位能力对接不够紧密，部分项目缺乏岗位真实性。</w:t>
            </w:r>
          </w:p>
        </w:tc>
        <w:tc>
          <w:tcPr>
            <w:tcW w:w="4701" w:type="dxa"/>
            <w:vAlign w:val="center"/>
          </w:tcPr>
          <w:p w14:paraId="721A1B3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基于岗位任务重构实训项目，引入企业真实教学案例与任务，提升实践针对性。</w:t>
            </w:r>
          </w:p>
        </w:tc>
      </w:tr>
      <w:tr w14:paraId="583E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950" w:type="dxa"/>
            <w:vMerge w:val="continue"/>
            <w:vAlign w:val="center"/>
          </w:tcPr>
          <w:p w14:paraId="6DFA7B0E">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C5FFBA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0A49B58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实践教学管理制度执行不严，部分环节缺乏有效监督与反馈机制。</w:t>
            </w:r>
          </w:p>
        </w:tc>
        <w:tc>
          <w:tcPr>
            <w:tcW w:w="4701" w:type="dxa"/>
            <w:vAlign w:val="center"/>
          </w:tcPr>
          <w:p w14:paraId="7F26C3F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完善实践教学全过程管理制度，强化过程监控与质量评价，建立学生、教师、企业三方反馈机制。</w:t>
            </w:r>
          </w:p>
        </w:tc>
      </w:tr>
      <w:tr w14:paraId="0D3E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50" w:type="dxa"/>
            <w:vMerge w:val="restart"/>
            <w:vAlign w:val="center"/>
          </w:tcPr>
          <w:p w14:paraId="7E0E7003">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5.专业师资</w:t>
            </w:r>
          </w:p>
        </w:tc>
        <w:tc>
          <w:tcPr>
            <w:tcW w:w="2769" w:type="dxa"/>
            <w:vMerge w:val="restart"/>
            <w:vAlign w:val="center"/>
          </w:tcPr>
          <w:p w14:paraId="1B9ACFB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5.1 专业带头人</w:t>
            </w:r>
          </w:p>
        </w:tc>
        <w:tc>
          <w:tcPr>
            <w:tcW w:w="4800" w:type="dxa"/>
            <w:shd w:val="clear" w:color="auto" w:fill="auto"/>
            <w:vAlign w:val="center"/>
          </w:tcPr>
          <w:p w14:paraId="4DA65641">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1.行业协会活跃度不足。</w:t>
            </w:r>
          </w:p>
        </w:tc>
        <w:tc>
          <w:tcPr>
            <w:tcW w:w="4701" w:type="dxa"/>
            <w:vAlign w:val="center"/>
          </w:tcPr>
          <w:p w14:paraId="5A50B31A">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积极加入各类行业协会组织并任职，加强与行业联系。</w:t>
            </w:r>
          </w:p>
        </w:tc>
      </w:tr>
      <w:tr w14:paraId="02D6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950" w:type="dxa"/>
            <w:vMerge w:val="continue"/>
            <w:vAlign w:val="center"/>
          </w:tcPr>
          <w:p w14:paraId="08335915">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CD05D1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4059054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专业带头人科研成果层次仍有提升空间，缺乏国家级科研项目或高水平论文支撑。</w:t>
            </w:r>
          </w:p>
        </w:tc>
        <w:tc>
          <w:tcPr>
            <w:tcW w:w="4701" w:type="dxa"/>
            <w:vAlign w:val="center"/>
          </w:tcPr>
          <w:p w14:paraId="52D757A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制定带头人科研跃升计划，重点培育国家级课题申报，鼓励与本科院校、科研机构联合攻关；设立高水平论文专项奖励，支持在核心期刊、SSCI/SCI发表论文。</w:t>
            </w:r>
          </w:p>
        </w:tc>
      </w:tr>
      <w:tr w14:paraId="35FD2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1950" w:type="dxa"/>
            <w:vMerge w:val="continue"/>
            <w:vAlign w:val="center"/>
          </w:tcPr>
          <w:p w14:paraId="5E275A48">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A21E81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122DE82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对外影响力不足，在行业权威会议或标准制定中发声较少。</w:t>
            </w:r>
          </w:p>
        </w:tc>
        <w:tc>
          <w:tcPr>
            <w:tcW w:w="4701" w:type="dxa"/>
            <w:vAlign w:val="center"/>
          </w:tcPr>
          <w:p w14:paraId="67A9B01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建立“带头人走出去”机制：每年至少参加1次全国性学术会议并做主题报告；推荐加入省级以上教指委、行指委，参与专业标准、课程标准研制。</w:t>
            </w:r>
          </w:p>
        </w:tc>
      </w:tr>
      <w:tr w14:paraId="0B50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433177F">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549A62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5389BE4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博士比例偏低（目前1/26），与高水平专业建设指标存在差距。</w:t>
            </w:r>
          </w:p>
        </w:tc>
        <w:tc>
          <w:tcPr>
            <w:tcW w:w="4701" w:type="dxa"/>
            <w:vAlign w:val="center"/>
          </w:tcPr>
          <w:p w14:paraId="25EB3CD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将“博士引进”纳入学校高层次人才专项，给予住房、科研启动经费、职称直聘等倾斜；对在职教师攻读博士实行“学费报销+脱产保留待遇”政策，力争3年内博士达到3-4人。</w:t>
            </w:r>
          </w:p>
        </w:tc>
      </w:tr>
      <w:tr w14:paraId="0D7B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950" w:type="dxa"/>
            <w:vMerge w:val="continue"/>
            <w:vAlign w:val="center"/>
          </w:tcPr>
          <w:p w14:paraId="1175EB95">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315AF2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1F9A72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兼职教师占比19%，低于教育部30%的参考线，行业新鲜血液补充不足。</w:t>
            </w:r>
          </w:p>
        </w:tc>
        <w:tc>
          <w:tcPr>
            <w:tcW w:w="4701" w:type="dxa"/>
            <w:vAlign w:val="center"/>
          </w:tcPr>
          <w:p w14:paraId="70EF967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出台《兼职教师引进行动计划》，按年度下达指标，重点引进幼儿园英语教研员、少儿机构教学总监等一线骨干；建立兼职教师资源库，实行项目制、课时制、年薪制多元薪酬，吸引企业名师进校授课。</w:t>
            </w:r>
          </w:p>
        </w:tc>
      </w:tr>
      <w:tr w14:paraId="106F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5859185">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875A09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13D34E0">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4.高级职称数量偏少。博士及以上学历人数较少，本科学历还有一定比例。</w:t>
            </w:r>
          </w:p>
        </w:tc>
        <w:tc>
          <w:tcPr>
            <w:tcW w:w="4701" w:type="dxa"/>
            <w:vAlign w:val="center"/>
          </w:tcPr>
          <w:p w14:paraId="124098EE">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为青年教师做好职称提升规划。创造条件，鼓励教师学历提升。</w:t>
            </w:r>
          </w:p>
        </w:tc>
      </w:tr>
      <w:tr w14:paraId="1051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950" w:type="dxa"/>
            <w:vMerge w:val="continue"/>
            <w:vAlign w:val="center"/>
          </w:tcPr>
          <w:p w14:paraId="460DFDCE">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2471294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5.3师德与履职能力</w:t>
            </w:r>
          </w:p>
        </w:tc>
        <w:tc>
          <w:tcPr>
            <w:tcW w:w="4800" w:type="dxa"/>
            <w:shd w:val="clear" w:color="auto" w:fill="auto"/>
            <w:vAlign w:val="center"/>
          </w:tcPr>
          <w:p w14:paraId="1728192A">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1.师德活动多集中在讲座、观影、自查等形式化环节。</w:t>
            </w:r>
          </w:p>
        </w:tc>
        <w:tc>
          <w:tcPr>
            <w:tcW w:w="4701" w:type="dxa"/>
            <w:vAlign w:val="center"/>
          </w:tcPr>
          <w:p w14:paraId="3BABC39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将师德要求转化为教学履职细节的具体指引，真正落地到“教书育人”全过程。</w:t>
            </w:r>
          </w:p>
        </w:tc>
      </w:tr>
      <w:tr w14:paraId="28F0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950" w:type="dxa"/>
            <w:vMerge w:val="continue"/>
            <w:vAlign w:val="center"/>
          </w:tcPr>
          <w:p w14:paraId="096E5DA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04E6D7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3C1A76F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师德考核结果运用仍显宽松，与评优评先、职称晋升挂钩不够刚性。</w:t>
            </w:r>
          </w:p>
        </w:tc>
        <w:tc>
          <w:tcPr>
            <w:tcW w:w="4701" w:type="dxa"/>
            <w:vAlign w:val="center"/>
          </w:tcPr>
          <w:p w14:paraId="22E5DB6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修订师德考核细则，实行“师德一票否决”清单管理，考核不合格者当年职称评聘、评优评先直接暂停；建立师德档案，记录违规与表彰信息，与个人发展全程挂钩。</w:t>
            </w:r>
          </w:p>
        </w:tc>
      </w:tr>
      <w:tr w14:paraId="1307C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950" w:type="dxa"/>
            <w:vMerge w:val="continue"/>
            <w:vAlign w:val="center"/>
          </w:tcPr>
          <w:p w14:paraId="52FA608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D36B21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5173D6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学生评教分数差距较大（最低85.76，最高98.96），部分教师教学方法、课堂管理亟待改进。</w:t>
            </w:r>
          </w:p>
        </w:tc>
        <w:tc>
          <w:tcPr>
            <w:tcW w:w="4701" w:type="dxa"/>
            <w:vAlign w:val="center"/>
          </w:tcPr>
          <w:p w14:paraId="7939C61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建立“评教后十名”帮扶制度：由教学名师、督导组成导师团，进行两轮跟踪听课-诊断-整改</w:t>
            </w:r>
            <w:r>
              <w:rPr>
                <w:rFonts w:hint="eastAsia" w:ascii="仿宋" w:hAnsi="仿宋" w:eastAsia="仿宋" w:cs="仿宋"/>
                <w:sz w:val="24"/>
                <w:szCs w:val="24"/>
                <w:vertAlign w:val="baseline"/>
                <w:lang w:val="en-US" w:eastAsia="zh-CN"/>
              </w:rPr>
              <w:t>。</w:t>
            </w:r>
          </w:p>
        </w:tc>
      </w:tr>
      <w:tr w14:paraId="7364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447A191">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2A4DEBB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5.4专业教师实践能力</w:t>
            </w:r>
          </w:p>
        </w:tc>
        <w:tc>
          <w:tcPr>
            <w:tcW w:w="4800" w:type="dxa"/>
            <w:shd w:val="clear" w:color="auto" w:fill="auto"/>
            <w:vAlign w:val="center"/>
          </w:tcPr>
          <w:p w14:paraId="550F76AD">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1.教师持有的行业证书多为育婴师、保育师等基础资质。</w:t>
            </w:r>
          </w:p>
        </w:tc>
        <w:tc>
          <w:tcPr>
            <w:tcW w:w="4701" w:type="dxa"/>
            <w:vAlign w:val="center"/>
          </w:tcPr>
          <w:p w14:paraId="2EC40A96">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建议教师考取英语相关职业技能证书。</w:t>
            </w:r>
          </w:p>
        </w:tc>
      </w:tr>
      <w:tr w14:paraId="12EE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0E71763">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1BEF14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5AE174E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双师型教师比例73%，虽高于全省平均，但高级双师型仅3人，占比偏低。</w:t>
            </w:r>
          </w:p>
        </w:tc>
        <w:tc>
          <w:tcPr>
            <w:tcW w:w="4701" w:type="dxa"/>
            <w:vAlign w:val="center"/>
          </w:tcPr>
          <w:p w14:paraId="2AD662E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实施“高级双师跃升工程”：对具备副高及以上职称教师设定2年企业实践累计12个月底线，鼓励考取高级翻译、高级育婴师等二级以上职业资格；对取得高级双师型资格者给予1万元奖励并在职称评审中加3分。</w:t>
            </w:r>
          </w:p>
        </w:tc>
      </w:tr>
      <w:tr w14:paraId="3B8F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950" w:type="dxa"/>
            <w:vMerge w:val="continue"/>
            <w:vAlign w:val="center"/>
          </w:tcPr>
          <w:p w14:paraId="19B027DE">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25D8EC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59F965F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企业实践深度不均，部分教师仍以“参观式”为主，未能形成可融入课堂的案例包。</w:t>
            </w:r>
          </w:p>
        </w:tc>
        <w:tc>
          <w:tcPr>
            <w:tcW w:w="4701" w:type="dxa"/>
            <w:vAlign w:val="center"/>
          </w:tcPr>
          <w:p w14:paraId="7F50B55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推行“企业实践项目制”：教师须带着课程任务进企业，实践结束须提交1份教学案例、1份微课视频、1份学生实训任务书，由教务处统一组织认定与共享；案例质量纳入年度考核。</w:t>
            </w:r>
          </w:p>
        </w:tc>
      </w:tr>
      <w:tr w14:paraId="736AC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4009FF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895DA4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05CFEEB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4.教师实践成果转化不足，仅联合开发 1 门核心课程。</w:t>
            </w:r>
          </w:p>
        </w:tc>
        <w:tc>
          <w:tcPr>
            <w:tcW w:w="4701" w:type="dxa"/>
            <w:vAlign w:val="center"/>
          </w:tcPr>
          <w:p w14:paraId="2158656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将实践经验系统转化为实训模块或教学案例。</w:t>
            </w:r>
          </w:p>
        </w:tc>
      </w:tr>
      <w:tr w14:paraId="6B5B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1950" w:type="dxa"/>
            <w:vMerge w:val="continue"/>
            <w:vAlign w:val="center"/>
          </w:tcPr>
          <w:p w14:paraId="6E4204A9">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34184C4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5.5 教学科研能力</w:t>
            </w:r>
          </w:p>
        </w:tc>
        <w:tc>
          <w:tcPr>
            <w:tcW w:w="4800" w:type="dxa"/>
            <w:shd w:val="clear" w:color="auto" w:fill="auto"/>
            <w:vAlign w:val="center"/>
          </w:tcPr>
          <w:p w14:paraId="3A9E475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1.科研成果层次较低、数量较少。</w:t>
            </w:r>
          </w:p>
        </w:tc>
        <w:tc>
          <w:tcPr>
            <w:tcW w:w="4701" w:type="dxa"/>
            <w:shd w:val="clear" w:color="auto" w:fill="auto"/>
            <w:vAlign w:val="center"/>
          </w:tcPr>
          <w:p w14:paraId="7072953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充分认识到科研可以促进人才培养的重要性。柔性引进人才，形成科研团队，争取更多的各类的科研项目、教改项目。</w:t>
            </w:r>
          </w:p>
        </w:tc>
      </w:tr>
      <w:tr w14:paraId="6BD7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950" w:type="dxa"/>
            <w:vMerge w:val="continue"/>
            <w:vAlign w:val="center"/>
          </w:tcPr>
          <w:p w14:paraId="725AF0A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8E3D1F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8EA954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高水平科研平台缺乏，近三年仅1项省级课题结题，国家级项目空白。</w:t>
            </w:r>
          </w:p>
        </w:tc>
        <w:tc>
          <w:tcPr>
            <w:tcW w:w="4701" w:type="dxa"/>
            <w:shd w:val="clear" w:color="auto" w:fill="auto"/>
            <w:vAlign w:val="center"/>
          </w:tcPr>
          <w:p w14:paraId="2DF3F69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1、设立“应用英语科研专项基金”，每年资助5项重点课题，优先推荐申报教育部人文社科、省自然科学基金；与本科院校共建“职业教育研究院”，共享平台与团队，提升课题命中率。</w:t>
            </w:r>
          </w:p>
        </w:tc>
      </w:tr>
      <w:tr w14:paraId="004C7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0" w:type="dxa"/>
            <w:vMerge w:val="continue"/>
            <w:vAlign w:val="center"/>
          </w:tcPr>
          <w:p w14:paraId="74B44CA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4076E2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1A11B9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教研成果向教学资源转化率不高，论文、案例停留在纸面，未能形成校本教材或在线开放课程。</w:t>
            </w:r>
          </w:p>
        </w:tc>
        <w:tc>
          <w:tcPr>
            <w:tcW w:w="4701" w:type="dxa"/>
            <w:shd w:val="clear" w:color="auto" w:fill="auto"/>
            <w:vAlign w:val="center"/>
          </w:tcPr>
          <w:p w14:paraId="21049FF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2、建立“成果—资源—课程”三级转化通道：优秀论文必须配套开发1份教学资源包（PPT、微课、习题）；重点课题结题须完成1部校本教材或1门在线课程；将转化成效作为项目验收必要条件。</w:t>
            </w:r>
          </w:p>
        </w:tc>
      </w:tr>
      <w:tr w14:paraId="1848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1950" w:type="dxa"/>
            <w:vMerge w:val="continue"/>
            <w:vAlign w:val="center"/>
          </w:tcPr>
          <w:p w14:paraId="3E0F65C2">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7FE0D34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5.6兼职教师</w:t>
            </w:r>
          </w:p>
        </w:tc>
        <w:tc>
          <w:tcPr>
            <w:tcW w:w="4800" w:type="dxa"/>
            <w:shd w:val="clear" w:color="auto" w:fill="auto"/>
            <w:vAlign w:val="center"/>
          </w:tcPr>
          <w:p w14:paraId="662A2C5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1.兼职教师兼职教师任教课程多为学前卫生学、教育学等课程，参与专业相关建设的情况较少。</w:t>
            </w:r>
          </w:p>
        </w:tc>
        <w:tc>
          <w:tcPr>
            <w:tcW w:w="4701" w:type="dxa"/>
            <w:vAlign w:val="center"/>
          </w:tcPr>
          <w:p w14:paraId="00B2864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优先筛选英语教育、少儿英语课程研发等领域的行业骨干。</w:t>
            </w:r>
          </w:p>
        </w:tc>
      </w:tr>
      <w:tr w14:paraId="2E77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1950" w:type="dxa"/>
            <w:vMerge w:val="continue"/>
            <w:vAlign w:val="center"/>
          </w:tcPr>
          <w:p w14:paraId="2674FDF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ED904F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38490E7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兼职教师管理制度执行不到位，部分外聘教师未纳入统一考核，教学质量监控缺位。</w:t>
            </w:r>
          </w:p>
        </w:tc>
        <w:tc>
          <w:tcPr>
            <w:tcW w:w="4701" w:type="dxa"/>
            <w:vAlign w:val="center"/>
          </w:tcPr>
          <w:p w14:paraId="662EAC9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升级《兼职教师管理办法实施细则》：所有兼职教师统一纳入教务系统排课、学生评教、督导听课；对出现教学事故或评教低于80分者实行“黄牌+限授”直至退出机制。</w:t>
            </w:r>
          </w:p>
        </w:tc>
      </w:tr>
      <w:tr w14:paraId="5E4E5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950" w:type="dxa"/>
            <w:vMerge w:val="continue"/>
            <w:vAlign w:val="center"/>
          </w:tcPr>
          <w:p w14:paraId="0DE658A5">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544648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237463E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兼职教师培训覆盖率低，岗前培训不足8学时，对职业教育理念、信息化工具掌握薄弱。</w:t>
            </w:r>
          </w:p>
        </w:tc>
        <w:tc>
          <w:tcPr>
            <w:tcW w:w="4701" w:type="dxa"/>
            <w:vAlign w:val="center"/>
          </w:tcPr>
          <w:p w14:paraId="5EED669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建立“兼职教师职前职后一体化培训”：岗前必修16学时（含职业教育理念、课程思政、信息化教学）；每学期组织1次“兼职教师教研日”，分享行业案例与教法，培训合格发放继续教育证书，与续聘直接挂钩。</w:t>
            </w:r>
          </w:p>
        </w:tc>
      </w:tr>
      <w:tr w14:paraId="12B6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5E6F531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6.学生满意度</w:t>
            </w:r>
          </w:p>
        </w:tc>
        <w:tc>
          <w:tcPr>
            <w:tcW w:w="2769" w:type="dxa"/>
            <w:vMerge w:val="restart"/>
            <w:vAlign w:val="center"/>
          </w:tcPr>
          <w:p w14:paraId="33AA578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6.1对教学保障的满意度</w:t>
            </w:r>
          </w:p>
        </w:tc>
        <w:tc>
          <w:tcPr>
            <w:tcW w:w="4800" w:type="dxa"/>
            <w:vAlign w:val="center"/>
          </w:tcPr>
          <w:p w14:paraId="43547B6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1.教学内容与学生基础适配性不足。</w:t>
            </w:r>
          </w:p>
        </w:tc>
        <w:tc>
          <w:tcPr>
            <w:tcW w:w="4701" w:type="dxa"/>
            <w:vAlign w:val="center"/>
          </w:tcPr>
          <w:p w14:paraId="0D3DA30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优化教学内容适配性，推行分层保障：部分课程对零基础学生应设置衔接内容。</w:t>
            </w:r>
          </w:p>
        </w:tc>
      </w:tr>
      <w:tr w14:paraId="5290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4BF29EC">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2BE8CEE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21FFDCB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r>
              <w:rPr>
                <w:rFonts w:hint="default" w:ascii="仿宋" w:hAnsi="仿宋" w:eastAsia="仿宋" w:cs="仿宋"/>
                <w:sz w:val="24"/>
                <w:szCs w:val="24"/>
                <w:vertAlign w:val="baseline"/>
                <w:lang w:val="en-US" w:eastAsia="zh-CN"/>
              </w:rPr>
              <w:t>部分学生反映专业课程设置与实际岗位需求匹配度仍有提升空间，如部分公共基础课程实用性不足。</w:t>
            </w:r>
          </w:p>
        </w:tc>
        <w:tc>
          <w:tcPr>
            <w:tcW w:w="4701" w:type="dxa"/>
            <w:vAlign w:val="center"/>
          </w:tcPr>
          <w:p w14:paraId="48DCEDC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定期开展行业调研，邀请企业专家参与课程设置优化，确保课程内容与岗位需求紧密结合。</w:t>
            </w:r>
          </w:p>
        </w:tc>
      </w:tr>
      <w:tr w14:paraId="366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2B2194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E40C8D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FC0D9E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部分学生提出教学设施（如实训室设备、多媒体教室）更新速度较慢，影响学习体验。</w:t>
            </w:r>
          </w:p>
        </w:tc>
        <w:tc>
          <w:tcPr>
            <w:tcW w:w="4701" w:type="dxa"/>
            <w:vAlign w:val="center"/>
          </w:tcPr>
          <w:p w14:paraId="5BF2E8A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制定教学设施更新计划，争取专项资金用于设备升级，提升教学设施的现代化水平。</w:t>
            </w:r>
          </w:p>
        </w:tc>
      </w:tr>
      <w:tr w14:paraId="4864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6FDAA6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2D28BAC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1CE57AD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r>
              <w:rPr>
                <w:rFonts w:hint="default" w:ascii="仿宋" w:hAnsi="仿宋" w:eastAsia="仿宋" w:cs="仿宋"/>
                <w:sz w:val="24"/>
                <w:szCs w:val="24"/>
                <w:vertAlign w:val="baseline"/>
                <w:lang w:val="en-US" w:eastAsia="zh-CN"/>
              </w:rPr>
              <w:t>学生对部分教师的教学方法和课堂互动性提出改进建议，希望增加更多实践操作和案例教学。</w:t>
            </w:r>
          </w:p>
        </w:tc>
        <w:tc>
          <w:tcPr>
            <w:tcW w:w="4701" w:type="dxa"/>
            <w:vAlign w:val="center"/>
          </w:tcPr>
          <w:p w14:paraId="2530469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鼓励教师采用多样化的教学方法，如项目式教学、情景模拟等，增强课堂互动性。</w:t>
            </w:r>
          </w:p>
        </w:tc>
      </w:tr>
      <w:tr w14:paraId="34D1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E62B70D">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D008E0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546957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r>
              <w:rPr>
                <w:rFonts w:hint="default" w:ascii="仿宋" w:hAnsi="仿宋" w:eastAsia="仿宋" w:cs="仿宋"/>
                <w:sz w:val="24"/>
                <w:szCs w:val="24"/>
                <w:vertAlign w:val="baseline"/>
                <w:lang w:val="en-US" w:eastAsia="zh-CN"/>
              </w:rPr>
              <w:t>部分学生反映教学资源（如在线课程、案例库）的丰富度和便捷性不足。</w:t>
            </w:r>
          </w:p>
        </w:tc>
        <w:tc>
          <w:tcPr>
            <w:tcW w:w="4701" w:type="dxa"/>
            <w:vAlign w:val="center"/>
          </w:tcPr>
          <w:p w14:paraId="2057B2C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加强教学资源建设，丰富在线教学平台内容，优化资源获取流程，提高资源使用效率。</w:t>
            </w:r>
          </w:p>
        </w:tc>
      </w:tr>
      <w:tr w14:paraId="604B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BF9366A">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10D6AF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502CD35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6.实训室设备提升。</w:t>
            </w:r>
          </w:p>
        </w:tc>
        <w:tc>
          <w:tcPr>
            <w:tcW w:w="4701" w:type="dxa"/>
            <w:vAlign w:val="center"/>
          </w:tcPr>
          <w:p w14:paraId="138189D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强化实践与硬件保障，补齐短板。</w:t>
            </w:r>
          </w:p>
        </w:tc>
      </w:tr>
      <w:tr w14:paraId="7C2D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E92F876">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093E3B0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6.2毕业生满意度</w:t>
            </w:r>
          </w:p>
        </w:tc>
        <w:tc>
          <w:tcPr>
            <w:tcW w:w="4800" w:type="dxa"/>
            <w:vAlign w:val="center"/>
          </w:tcPr>
          <w:p w14:paraId="1BC2098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1.实践能力与求职技能适配市场不足。</w:t>
            </w:r>
          </w:p>
        </w:tc>
        <w:tc>
          <w:tcPr>
            <w:tcW w:w="4701" w:type="dxa"/>
            <w:vAlign w:val="center"/>
          </w:tcPr>
          <w:p w14:paraId="0404F11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强化技能附加值，提升薪资竞争力。</w:t>
            </w:r>
          </w:p>
        </w:tc>
      </w:tr>
      <w:tr w14:paraId="7395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950" w:type="dxa"/>
            <w:vMerge w:val="continue"/>
            <w:vAlign w:val="center"/>
          </w:tcPr>
          <w:p w14:paraId="06FE684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12EF0C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012361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2.就业指导针对性与效率有待优化。</w:t>
            </w:r>
          </w:p>
        </w:tc>
        <w:tc>
          <w:tcPr>
            <w:tcW w:w="4701" w:type="dxa"/>
            <w:vAlign w:val="center"/>
          </w:tcPr>
          <w:p w14:paraId="34643FA4">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加强辅导员队伍与专任教师沟通、协作。</w:t>
            </w:r>
          </w:p>
        </w:tc>
      </w:tr>
      <w:tr w14:paraId="4EB4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950" w:type="dxa"/>
            <w:vMerge w:val="continue"/>
            <w:vAlign w:val="center"/>
          </w:tcPr>
          <w:p w14:paraId="6E9325F6">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E1D2F6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43F85B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r>
              <w:rPr>
                <w:rFonts w:hint="default" w:ascii="仿宋" w:hAnsi="仿宋" w:eastAsia="仿宋" w:cs="仿宋"/>
                <w:sz w:val="24"/>
                <w:szCs w:val="24"/>
                <w:vertAlign w:val="baseline"/>
                <w:lang w:val="en-US" w:eastAsia="zh-CN"/>
              </w:rPr>
              <w:t>毕业生对薪资水平满意度较低，反映出英语专业在就业市场中的竞争力有待提升。</w:t>
            </w:r>
          </w:p>
        </w:tc>
        <w:tc>
          <w:tcPr>
            <w:tcW w:w="4701" w:type="dxa"/>
            <w:vAlign w:val="center"/>
          </w:tcPr>
          <w:p w14:paraId="0A1E364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加强与企业的合作，拓展优质实习和就业渠道，提升毕业生的就业竞争力。</w:t>
            </w:r>
          </w:p>
        </w:tc>
      </w:tr>
      <w:tr w14:paraId="1765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950" w:type="dxa"/>
            <w:vMerge w:val="continue"/>
            <w:vAlign w:val="center"/>
          </w:tcPr>
          <w:p w14:paraId="1D85C038">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019179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D189A2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r>
              <w:rPr>
                <w:rFonts w:hint="default" w:ascii="仿宋" w:hAnsi="仿宋" w:eastAsia="仿宋" w:cs="仿宋"/>
                <w:sz w:val="24"/>
                <w:szCs w:val="24"/>
                <w:vertAlign w:val="baseline"/>
                <w:lang w:val="en-US" w:eastAsia="zh-CN"/>
              </w:rPr>
              <w:t>部分毕业生认为学校在职业发展指导方面还可以进一步加强，如提供更多实习机会和就业跟踪服务。</w:t>
            </w:r>
          </w:p>
        </w:tc>
        <w:tc>
          <w:tcPr>
            <w:tcW w:w="4701" w:type="dxa"/>
            <w:vAlign w:val="center"/>
          </w:tcPr>
          <w:p w14:paraId="2C6D3D9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完善职业发展指导服务体系，定期开展职业发展讲座、校友交流活动，建立毕业生就业跟踪机制，为毕业生提供持续的职业支持。</w:t>
            </w:r>
          </w:p>
        </w:tc>
      </w:tr>
      <w:tr w14:paraId="60BA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1950" w:type="dxa"/>
            <w:vMerge w:val="continue"/>
            <w:vAlign w:val="center"/>
          </w:tcPr>
          <w:p w14:paraId="3C679441">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A6A8E4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D99D35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r>
              <w:rPr>
                <w:rFonts w:hint="default" w:ascii="仿宋" w:hAnsi="仿宋" w:eastAsia="仿宋" w:cs="仿宋"/>
                <w:sz w:val="24"/>
                <w:szCs w:val="24"/>
                <w:vertAlign w:val="baseline"/>
                <w:lang w:val="en-US" w:eastAsia="zh-CN"/>
              </w:rPr>
              <w:t>部分毕业生反馈，学校在专业技能与职业素养培养方面还需进一步强化，以更好地适应职场需求。</w:t>
            </w:r>
          </w:p>
        </w:tc>
        <w:tc>
          <w:tcPr>
            <w:tcW w:w="4701" w:type="dxa"/>
            <w:vAlign w:val="center"/>
          </w:tcPr>
          <w:p w14:paraId="6CD0857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default" w:ascii="仿宋" w:hAnsi="仿宋" w:eastAsia="仿宋" w:cs="仿宋"/>
                <w:sz w:val="24"/>
                <w:szCs w:val="24"/>
                <w:vertAlign w:val="baseline"/>
                <w:lang w:val="en-US" w:eastAsia="zh-CN"/>
              </w:rPr>
              <w:t>深化课程改革，增加实践教学比重，强化职业素养教育，通过校企合作项目、职业技能竞赛等方式提升学生的专业技能和职业素养。</w:t>
            </w:r>
          </w:p>
        </w:tc>
      </w:tr>
      <w:tr w14:paraId="442F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950" w:type="dxa"/>
            <w:vMerge w:val="restart"/>
            <w:vAlign w:val="center"/>
          </w:tcPr>
          <w:p w14:paraId="1D16EE77">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7.人才培养质量</w:t>
            </w:r>
          </w:p>
        </w:tc>
        <w:tc>
          <w:tcPr>
            <w:tcW w:w="2769" w:type="dxa"/>
            <w:vMerge w:val="restart"/>
            <w:vAlign w:val="center"/>
          </w:tcPr>
          <w:p w14:paraId="313177F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7.1用人单位满意度</w:t>
            </w:r>
          </w:p>
        </w:tc>
        <w:tc>
          <w:tcPr>
            <w:tcW w:w="4800" w:type="dxa"/>
            <w:shd w:val="clear" w:color="auto" w:fill="auto"/>
            <w:vAlign w:val="center"/>
          </w:tcPr>
          <w:p w14:paraId="76729A9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1.技术应用能力与行业数字化需求脱节。</w:t>
            </w:r>
          </w:p>
        </w:tc>
        <w:tc>
          <w:tcPr>
            <w:tcW w:w="4701" w:type="dxa"/>
            <w:vAlign w:val="center"/>
          </w:tcPr>
          <w:p w14:paraId="792D4E2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提升 “英语 + 教育 + 技术” 的融合能力，适应数字化教学趋势。</w:t>
            </w:r>
          </w:p>
        </w:tc>
      </w:tr>
      <w:tr w14:paraId="201B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950" w:type="dxa"/>
            <w:vMerge w:val="continue"/>
            <w:vAlign w:val="center"/>
          </w:tcPr>
          <w:p w14:paraId="2E2AF29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5CB630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1ED2E4D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2.就业区域集中在本省，专业对口率虽高（2024年达73.0%），但就业行业结构相对单一，毕业生职业发展路径不够多元。</w:t>
            </w:r>
          </w:p>
        </w:tc>
        <w:tc>
          <w:tcPr>
            <w:tcW w:w="4701" w:type="dxa"/>
            <w:shd w:val="clear" w:color="auto" w:fill="auto"/>
            <w:vAlign w:val="center"/>
          </w:tcPr>
          <w:p w14:paraId="5978B37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拓展就业市场，加强与省外企业、跨境电商、国际会展等新兴行业合作；引入职业规划课程，拓宽学生就业视野，提升跨行业就业能力。</w:t>
            </w:r>
          </w:p>
        </w:tc>
      </w:tr>
      <w:tr w14:paraId="59883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950" w:type="dxa"/>
            <w:vMerge w:val="continue"/>
            <w:vAlign w:val="center"/>
          </w:tcPr>
          <w:p w14:paraId="5AE0836E">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6F05D0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597AE12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3.尽管用人单位整体满意度高（2023、2024年均达100%），但对毕业生现代教育技术能力（如AI教学工具应用）提出更高期待。</w:t>
            </w:r>
          </w:p>
        </w:tc>
        <w:tc>
          <w:tcPr>
            <w:tcW w:w="4701" w:type="dxa"/>
            <w:vAlign w:val="center"/>
          </w:tcPr>
          <w:p w14:paraId="2B61B17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加强“英语+教育+技术”融合能力培养，开设AI教学工具应用课程或实训模块，如智能课件设计、口语测评工具使用等，提升毕业生数字化教学适应能力。</w:t>
            </w:r>
          </w:p>
        </w:tc>
      </w:tr>
      <w:tr w14:paraId="7AF4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1950" w:type="dxa"/>
            <w:vMerge w:val="continue"/>
            <w:vAlign w:val="center"/>
          </w:tcPr>
          <w:p w14:paraId="22172100">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1732D86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7.2就业状况</w:t>
            </w:r>
          </w:p>
        </w:tc>
        <w:tc>
          <w:tcPr>
            <w:tcW w:w="4800" w:type="dxa"/>
            <w:shd w:val="clear" w:color="auto" w:fill="auto"/>
            <w:vAlign w:val="center"/>
          </w:tcPr>
          <w:p w14:paraId="29A4FEF4">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1.现有数据仅关注 “是否就业”“是否对口”，未跟踪毕业生就业稳定性、职业发展速度等长期数据。</w:t>
            </w:r>
          </w:p>
        </w:tc>
        <w:tc>
          <w:tcPr>
            <w:tcW w:w="4701" w:type="dxa"/>
            <w:shd w:val="clear" w:color="auto" w:fill="auto"/>
            <w:vAlign w:val="center"/>
          </w:tcPr>
          <w:p w14:paraId="72B69CE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建立毕业生跟踪机制，根据职场反馈持续调整指导内容。</w:t>
            </w:r>
          </w:p>
        </w:tc>
      </w:tr>
      <w:tr w14:paraId="415A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950" w:type="dxa"/>
            <w:vMerge w:val="continue"/>
            <w:vAlign w:val="center"/>
          </w:tcPr>
          <w:p w14:paraId="4F41B4DF">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E78823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5BF686F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2.就业区域集中在本省，专业对口率虽高（2024年达73.0%），但就业行业结构相对单一，毕业生职业发展路径不够多元。</w:t>
            </w:r>
          </w:p>
        </w:tc>
        <w:tc>
          <w:tcPr>
            <w:tcW w:w="4701" w:type="dxa"/>
            <w:shd w:val="clear" w:color="auto" w:fill="auto"/>
            <w:vAlign w:val="center"/>
          </w:tcPr>
          <w:p w14:paraId="6D9E550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拓展就业市场，加强与省外企业、跨境电商、国际会展等新兴行业合作；引入职业规划课程，拓宽学生就业视野，提升跨行业就业能力。</w:t>
            </w:r>
          </w:p>
        </w:tc>
      </w:tr>
      <w:tr w14:paraId="6238D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jc w:val="center"/>
        </w:trPr>
        <w:tc>
          <w:tcPr>
            <w:tcW w:w="1950" w:type="dxa"/>
            <w:vMerge w:val="continue"/>
            <w:vAlign w:val="center"/>
          </w:tcPr>
          <w:p w14:paraId="47F7482D">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46B8B51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7.3学生技能水平</w:t>
            </w:r>
          </w:p>
        </w:tc>
        <w:tc>
          <w:tcPr>
            <w:tcW w:w="4800" w:type="dxa"/>
            <w:shd w:val="clear" w:color="auto" w:fill="auto"/>
            <w:vAlign w:val="center"/>
          </w:tcPr>
          <w:p w14:paraId="7407B3A9">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1.竞赛层级与奖项质量可进一步提升。</w:t>
            </w:r>
          </w:p>
        </w:tc>
        <w:tc>
          <w:tcPr>
            <w:tcW w:w="4701" w:type="dxa"/>
            <w:vAlign w:val="center"/>
          </w:tcPr>
          <w:p w14:paraId="48F5D47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由企业导师和校内骨干教师组队，针对省级以上一等奖目标开展专项培训，每年至少冲击1项高阶奖项。</w:t>
            </w:r>
          </w:p>
        </w:tc>
      </w:tr>
      <w:tr w14:paraId="193C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950" w:type="dxa"/>
            <w:vMerge w:val="continue"/>
            <w:vAlign w:val="center"/>
          </w:tcPr>
          <w:p w14:paraId="7B7A329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63925C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7168B8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2.学生技能竞赛成绩优异，但高等级奖项（如国家级一等奖）仍较少，部分学生英语等级考试通过率（如六级）偏低。</w:t>
            </w:r>
          </w:p>
        </w:tc>
        <w:tc>
          <w:tcPr>
            <w:tcW w:w="4701" w:type="dxa"/>
            <w:vAlign w:val="center"/>
          </w:tcPr>
          <w:p w14:paraId="4AFFC57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强化拔尖学生培养机制，设立“竞赛精英班”或“六级冲刺班”，提供专项辅导与资源支持；将竞赛成果与课程学分、评优评奖挂钩，激发学生参与积极性。</w:t>
            </w:r>
          </w:p>
        </w:tc>
      </w:tr>
      <w:tr w14:paraId="0A41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4F19B4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8.校企（医）合作与社会服务</w:t>
            </w:r>
          </w:p>
        </w:tc>
        <w:tc>
          <w:tcPr>
            <w:tcW w:w="2769" w:type="dxa"/>
            <w:vMerge w:val="restart"/>
            <w:vAlign w:val="center"/>
          </w:tcPr>
          <w:p w14:paraId="4B1385B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8.1校企合作</w:t>
            </w:r>
          </w:p>
        </w:tc>
        <w:tc>
          <w:tcPr>
            <w:tcW w:w="4800" w:type="dxa"/>
            <w:shd w:val="clear" w:color="auto" w:fill="auto"/>
            <w:vAlign w:val="center"/>
          </w:tcPr>
          <w:p w14:paraId="539CDEC6">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1.校企合作形式较为传统、单一。</w:t>
            </w:r>
          </w:p>
        </w:tc>
        <w:tc>
          <w:tcPr>
            <w:tcW w:w="4701" w:type="dxa"/>
            <w:vAlign w:val="center"/>
          </w:tcPr>
          <w:p w14:paraId="1BA57BB2">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考虑与培训机构成立订单班、工作室等模式。</w:t>
            </w:r>
          </w:p>
        </w:tc>
      </w:tr>
      <w:tr w14:paraId="7368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7F94BAD">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A45A94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957FFD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2.校企合作企业数量虽多，但合作深度不均，部分项目停留在实习安排层面，缺乏课程共建、教材共研、人才共育等深层协同。</w:t>
            </w:r>
          </w:p>
        </w:tc>
        <w:tc>
          <w:tcPr>
            <w:tcW w:w="4701" w:type="dxa"/>
            <w:vAlign w:val="center"/>
          </w:tcPr>
          <w:p w14:paraId="070294F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推动“校企双元育人”机制落地，制定合作分层分类标准，重点打造3–5个“深度合作示范单位”，实现课程共建、教材共编、师资互派、项目共研。</w:t>
            </w:r>
          </w:p>
        </w:tc>
      </w:tr>
      <w:tr w14:paraId="49B0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5D7C57D">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277B1E4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30203C0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3.企业投入仍以图书捐赠、场地支持为主，缺乏资金、技术、设备等实质性资源投入，合作可持续性不足。</w:t>
            </w:r>
          </w:p>
        </w:tc>
        <w:tc>
          <w:tcPr>
            <w:tcW w:w="4701" w:type="dxa"/>
            <w:vAlign w:val="center"/>
          </w:tcPr>
          <w:p w14:paraId="7F54BC0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建立“校企合作资源投入评估机制”，明确企业参与人才培养的责任与权益，推动设立企业奖学金、共建实训室、联合技术开发等多元化投入模式。</w:t>
            </w:r>
          </w:p>
        </w:tc>
      </w:tr>
      <w:tr w14:paraId="506A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6E29650">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237834A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D5453D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4.缺乏“厂中校”“校中厂”类产教融合型实训基地，学生真实职场体验不足。</w:t>
            </w:r>
          </w:p>
        </w:tc>
        <w:tc>
          <w:tcPr>
            <w:tcW w:w="4701" w:type="dxa"/>
            <w:vAlign w:val="center"/>
          </w:tcPr>
          <w:p w14:paraId="39703C2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联合优质企业共建“校中厂”英语教育服务中心或“厂中校”双语幼儿园实训基地，打造真实职业场景，提升学生岗位适应能力。</w:t>
            </w:r>
          </w:p>
        </w:tc>
      </w:tr>
      <w:tr w14:paraId="197C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47299BF">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DFB578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326A32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5.合作层次浅，未形成 “利益共同体”。</w:t>
            </w:r>
          </w:p>
        </w:tc>
        <w:tc>
          <w:tcPr>
            <w:tcW w:w="4701" w:type="dxa"/>
            <w:vAlign w:val="center"/>
          </w:tcPr>
          <w:p w14:paraId="254C893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寻找共赢点，如学校为企业提供员工培训，企业为学校捐赠设备等。</w:t>
            </w:r>
          </w:p>
        </w:tc>
      </w:tr>
      <w:tr w14:paraId="78FF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6FAB0C2">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16C0662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8.2 社会服务</w:t>
            </w:r>
          </w:p>
        </w:tc>
        <w:tc>
          <w:tcPr>
            <w:tcW w:w="4800" w:type="dxa"/>
            <w:shd w:val="clear" w:color="auto" w:fill="auto"/>
            <w:vAlign w:val="center"/>
          </w:tcPr>
          <w:p w14:paraId="5059FEF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1.服务类型众多，与专业核心关联度不足，不够聚焦。</w:t>
            </w:r>
          </w:p>
        </w:tc>
        <w:tc>
          <w:tcPr>
            <w:tcW w:w="4701" w:type="dxa"/>
            <w:vAlign w:val="center"/>
          </w:tcPr>
          <w:p w14:paraId="66705623">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集中资源开展 “英语+教育”、外语服务等社会服务项目。</w:t>
            </w:r>
          </w:p>
        </w:tc>
      </w:tr>
      <w:tr w14:paraId="65C3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872CB27">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C2D7C0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0E0C46F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2.服务持续性与深度不足，多为短期单次。</w:t>
            </w:r>
          </w:p>
        </w:tc>
        <w:tc>
          <w:tcPr>
            <w:tcW w:w="4701" w:type="dxa"/>
            <w:vAlign w:val="center"/>
          </w:tcPr>
          <w:p w14:paraId="3309E79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与几家核心企业共建长期合作基地。</w:t>
            </w:r>
          </w:p>
        </w:tc>
      </w:tr>
      <w:tr w14:paraId="5A1B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0B3001C">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756C62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BF60A1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3.社会服务项目内容丰富，但服务对象主要集中在教育行业，企业类、社区类、乡村振兴类服务相对分散，缺乏系统规划。</w:t>
            </w:r>
          </w:p>
        </w:tc>
        <w:tc>
          <w:tcPr>
            <w:tcW w:w="4701" w:type="dxa"/>
            <w:vAlign w:val="center"/>
          </w:tcPr>
          <w:p w14:paraId="5420AFA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制定“社会服务三年行动计划”，明确服务对象拓展路径，重点开发“企业语言服务包”“乡村振兴英语课程包”等标准化服务产品。</w:t>
            </w:r>
          </w:p>
        </w:tc>
      </w:tr>
      <w:tr w14:paraId="5C37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D375E8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FEC21C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146978D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4.社会服务成果转化为教学内容的机制尚不完善，部分案例未形成课程模块或教学资源，转化效率不高。</w:t>
            </w:r>
          </w:p>
        </w:tc>
        <w:tc>
          <w:tcPr>
            <w:tcW w:w="4701" w:type="dxa"/>
            <w:vAlign w:val="center"/>
          </w:tcPr>
          <w:p w14:paraId="3109E48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建立“服务成果—教学转化”工作专班，设立“服务转化课程开发基金”，推动服务案例标准化、课程化、模块化，纳入教学计划和考核体系。</w:t>
            </w:r>
          </w:p>
        </w:tc>
      </w:tr>
      <w:tr w14:paraId="382E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EFD01C3">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9CB3CE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77C3F3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5.社会服务影响力局限于本地，缺乏省级以上平台展示与推广，品牌效应不强。</w:t>
            </w:r>
          </w:p>
        </w:tc>
        <w:tc>
          <w:tcPr>
            <w:tcW w:w="4701" w:type="dxa"/>
            <w:vAlign w:val="center"/>
          </w:tcPr>
          <w:p w14:paraId="23B6F85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鼓励师生参与省级及以上志愿服务、翻译服务、教育帮扶等项目，打造“英华英语公益行”品牌，建立线上服务平台，扩大社会影响力。</w:t>
            </w:r>
          </w:p>
        </w:tc>
      </w:tr>
      <w:tr w14:paraId="2513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270E334">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9.社会评价与特色创新</w:t>
            </w:r>
          </w:p>
        </w:tc>
        <w:tc>
          <w:tcPr>
            <w:tcW w:w="2769" w:type="dxa"/>
            <w:vMerge w:val="restart"/>
            <w:vAlign w:val="center"/>
          </w:tcPr>
          <w:p w14:paraId="7462C44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9.1专业竞争力</w:t>
            </w:r>
          </w:p>
        </w:tc>
        <w:tc>
          <w:tcPr>
            <w:tcW w:w="4800" w:type="dxa"/>
            <w:shd w:val="clear" w:color="auto" w:fill="auto"/>
            <w:vAlign w:val="center"/>
          </w:tcPr>
          <w:p w14:paraId="3931342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1.未充分使用校友资源，增强专业品牌辐射力。</w:t>
            </w:r>
          </w:p>
        </w:tc>
        <w:tc>
          <w:tcPr>
            <w:tcW w:w="4701" w:type="dxa"/>
            <w:vAlign w:val="center"/>
          </w:tcPr>
          <w:p w14:paraId="5D16EA1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激活校友资源，拓展品牌辐射范围。</w:t>
            </w:r>
          </w:p>
        </w:tc>
      </w:tr>
      <w:tr w14:paraId="3076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ACBE4E0">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D9972E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3C2B1A4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2.虽提出“英语 + 学前”融合，但同类院校也多有类似布局，未形成独家优势。</w:t>
            </w:r>
          </w:p>
        </w:tc>
        <w:tc>
          <w:tcPr>
            <w:tcW w:w="4701" w:type="dxa"/>
            <w:vAlign w:val="center"/>
          </w:tcPr>
          <w:p w14:paraId="2891814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加入社会服务、职教出海等元素，打造更具辨识度的专业品牌。</w:t>
            </w:r>
          </w:p>
        </w:tc>
      </w:tr>
      <w:tr w14:paraId="2EC1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BB42A3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94112F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59551F7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3.招生规模逐年扩大，但生源质量波动较大，部分年份录取分数偏低，存在“量增质稳”压力。</w:t>
            </w:r>
          </w:p>
        </w:tc>
        <w:tc>
          <w:tcPr>
            <w:tcW w:w="4701" w:type="dxa"/>
            <w:vAlign w:val="center"/>
          </w:tcPr>
          <w:p w14:paraId="7792679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优化招生宣传策略，突出“英语+教育+实践”特色，强化与中学、中职学校的对接，提升优质生源吸引力；建立“优质生源基地”，稳定高分段考生比例。</w:t>
            </w:r>
          </w:p>
        </w:tc>
      </w:tr>
      <w:tr w14:paraId="628A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90DD73F">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CA6E96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5D863E7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4.招生宣传仍以传统方式为主，缺乏新媒体矩阵运营，品牌影响力未充分转化为生源优势。</w:t>
            </w:r>
          </w:p>
        </w:tc>
        <w:tc>
          <w:tcPr>
            <w:tcW w:w="4701" w:type="dxa"/>
            <w:vAlign w:val="center"/>
          </w:tcPr>
          <w:p w14:paraId="1EA15308">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构建“招生宣传新媒体矩阵”，包括短视频平台、微信公众号、直播宣讲等，打造“英华英语教育”品牌IP，增强专业吸引力与社会认知度。</w:t>
            </w:r>
          </w:p>
        </w:tc>
      </w:tr>
      <w:tr w14:paraId="62A3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jc w:val="center"/>
        </w:trPr>
        <w:tc>
          <w:tcPr>
            <w:tcW w:w="1950" w:type="dxa"/>
            <w:vMerge w:val="continue"/>
            <w:vAlign w:val="center"/>
          </w:tcPr>
          <w:p w14:paraId="15860321">
            <w:pPr>
              <w:jc w:val="left"/>
              <w:rPr>
                <w:rFonts w:hint="eastAsia" w:ascii="仿宋" w:hAnsi="仿宋" w:eastAsia="仿宋" w:cs="仿宋"/>
                <w:sz w:val="24"/>
                <w:szCs w:val="24"/>
                <w:vertAlign w:val="baseline"/>
                <w:lang w:val="en-US" w:eastAsia="zh-CN"/>
              </w:rPr>
            </w:pPr>
          </w:p>
        </w:tc>
        <w:tc>
          <w:tcPr>
            <w:tcW w:w="2769" w:type="dxa"/>
            <w:vMerge w:val="restart"/>
            <w:vAlign w:val="center"/>
          </w:tcPr>
          <w:p w14:paraId="7E17237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9.2 专业招生</w:t>
            </w:r>
          </w:p>
        </w:tc>
        <w:tc>
          <w:tcPr>
            <w:tcW w:w="4800" w:type="dxa"/>
            <w:shd w:val="clear" w:color="auto" w:fill="auto"/>
            <w:vAlign w:val="center"/>
          </w:tcPr>
          <w:p w14:paraId="0763F705">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1.仅聚焦福建省内招生，省外生较少。</w:t>
            </w:r>
          </w:p>
        </w:tc>
        <w:tc>
          <w:tcPr>
            <w:tcW w:w="4701" w:type="dxa"/>
            <w:vAlign w:val="center"/>
          </w:tcPr>
          <w:p w14:paraId="3622C15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利用新媒体手段，将招生信息投放至福建以及省外各地市高中、中职学校及教育类招生平台。</w:t>
            </w:r>
          </w:p>
        </w:tc>
      </w:tr>
      <w:tr w14:paraId="6F5F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0" w:type="dxa"/>
            <w:vMerge w:val="continue"/>
            <w:vAlign w:val="center"/>
          </w:tcPr>
          <w:p w14:paraId="00DC0A7D">
            <w:pPr>
              <w:jc w:val="left"/>
              <w:rPr>
                <w:rFonts w:hint="eastAsia" w:ascii="仿宋" w:hAnsi="仿宋" w:eastAsia="仿宋" w:cs="仿宋"/>
                <w:sz w:val="24"/>
                <w:szCs w:val="24"/>
                <w:vertAlign w:val="baseline"/>
                <w:lang w:val="en-US" w:eastAsia="zh-CN"/>
              </w:rPr>
            </w:pPr>
          </w:p>
        </w:tc>
        <w:tc>
          <w:tcPr>
            <w:tcW w:w="2769" w:type="dxa"/>
            <w:vMerge w:val="continue"/>
            <w:vAlign w:val="center"/>
          </w:tcPr>
          <w:p w14:paraId="0A8AA84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0F1C4694">
            <w:pPr>
              <w:keepNext w:val="0"/>
              <w:keepLines w:val="0"/>
              <w:pageBreakBefore w:val="0"/>
              <w:widowControl w:val="0"/>
              <w:kinsoku/>
              <w:wordWrap/>
              <w:overflowPunct/>
              <w:topLinePunct w:val="0"/>
              <w:autoSpaceDE/>
              <w:autoSpaceDN/>
              <w:bidi w:val="0"/>
              <w:adjustRightInd/>
              <w:snapToGrid w:val="0"/>
              <w:ind w:firstLine="5280" w:firstLineChars="22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 2.特色项目如“院士精神融入教学”“生活英语项目”“乡村振兴英语课堂”等已有初步成效，但缺乏系统提炼与标准化建设，难以复制推广。</w:t>
            </w:r>
          </w:p>
        </w:tc>
        <w:tc>
          <w:tcPr>
            <w:tcW w:w="4701" w:type="dxa"/>
            <w:vAlign w:val="center"/>
          </w:tcPr>
          <w:p w14:paraId="5B1C49D0">
            <w:pPr>
              <w:keepNext w:val="0"/>
              <w:keepLines w:val="0"/>
              <w:pageBreakBefore w:val="0"/>
              <w:widowControl w:val="0"/>
              <w:kinsoku/>
              <w:wordWrap/>
              <w:overflowPunct/>
              <w:topLinePunct w:val="0"/>
              <w:autoSpaceDE/>
              <w:autoSpaceDN/>
              <w:bidi w:val="0"/>
              <w:adjustRightInd/>
              <w:snapToGrid w:val="0"/>
              <w:ind w:firstLine="4800" w:firstLineChars="20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 建立“特色项目标准化建设机制”，形成可复制、可推广的项目模板（课程包、活动手册、评价体系），推动特色项目从“点状创新”走向“系统输出”。</w:t>
            </w:r>
          </w:p>
        </w:tc>
      </w:tr>
      <w:tr w14:paraId="48C0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950" w:type="dxa"/>
            <w:vMerge w:val="continue"/>
            <w:vAlign w:val="center"/>
          </w:tcPr>
          <w:p w14:paraId="53EF299C">
            <w:pPr>
              <w:jc w:val="left"/>
              <w:rPr>
                <w:rFonts w:hint="eastAsia" w:ascii="仿宋" w:hAnsi="仿宋" w:eastAsia="仿宋" w:cs="仿宋"/>
                <w:sz w:val="24"/>
                <w:szCs w:val="24"/>
                <w:vertAlign w:val="baseline"/>
                <w:lang w:val="en-US" w:eastAsia="zh-CN"/>
              </w:rPr>
            </w:pPr>
          </w:p>
        </w:tc>
        <w:tc>
          <w:tcPr>
            <w:tcW w:w="2769" w:type="dxa"/>
            <w:vMerge w:val="continue"/>
            <w:vAlign w:val="center"/>
          </w:tcPr>
          <w:p w14:paraId="1DD58FB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464B810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3.特色创新成果与教学融合深度不够，部分项目停留在活动层面，未完全转化为课程内容、教学资源或人才培养环节。</w:t>
            </w:r>
          </w:p>
        </w:tc>
        <w:tc>
          <w:tcPr>
            <w:tcW w:w="4701" w:type="dxa"/>
            <w:vAlign w:val="center"/>
          </w:tcPr>
          <w:p w14:paraId="128D2B5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推动“特色项目课程化”，将“院士精神”“生活英语”“乡村振兴”等主题转化为必修或选修课程模块，纳入人才培养方案，实现“活动—课程—能力”闭环。</w:t>
            </w:r>
          </w:p>
        </w:tc>
      </w:tr>
      <w:tr w14:paraId="0612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1950" w:type="dxa"/>
            <w:vMerge w:val="continue"/>
            <w:vAlign w:val="center"/>
          </w:tcPr>
          <w:p w14:paraId="4F9F0111">
            <w:pPr>
              <w:jc w:val="left"/>
              <w:rPr>
                <w:rFonts w:hint="eastAsia" w:ascii="仿宋" w:hAnsi="仿宋" w:eastAsia="仿宋" w:cs="仿宋"/>
                <w:sz w:val="24"/>
                <w:szCs w:val="24"/>
                <w:vertAlign w:val="baseline"/>
                <w:lang w:val="en-US" w:eastAsia="zh-CN"/>
              </w:rPr>
            </w:pPr>
          </w:p>
        </w:tc>
        <w:tc>
          <w:tcPr>
            <w:tcW w:w="2769" w:type="dxa"/>
            <w:vMerge w:val="restart"/>
            <w:vAlign w:val="center"/>
          </w:tcPr>
          <w:p w14:paraId="007BA23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9.3 特色创新</w:t>
            </w:r>
          </w:p>
        </w:tc>
        <w:tc>
          <w:tcPr>
            <w:tcW w:w="4800" w:type="dxa"/>
            <w:shd w:val="clear" w:color="auto" w:fill="auto"/>
            <w:vAlign w:val="center"/>
          </w:tcPr>
          <w:p w14:paraId="1C0FE9FF">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1.对“院士精神”的融入不足，多停留在课堂案例，未形成贯穿人才培养全过程的体系。</w:t>
            </w:r>
          </w:p>
        </w:tc>
        <w:tc>
          <w:tcPr>
            <w:tcW w:w="4701" w:type="dxa"/>
            <w:vAlign w:val="center"/>
          </w:tcPr>
          <w:p w14:paraId="6195DA74">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做好顶层设计，围绕“院士精神”，形成体系化的课程思政设计。</w:t>
            </w:r>
          </w:p>
        </w:tc>
      </w:tr>
      <w:tr w14:paraId="7FC8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950" w:type="dxa"/>
            <w:vMerge w:val="continue"/>
            <w:vAlign w:val="center"/>
          </w:tcPr>
          <w:p w14:paraId="6AFB4756">
            <w:pPr>
              <w:jc w:val="left"/>
              <w:rPr>
                <w:rFonts w:hint="eastAsia" w:ascii="仿宋" w:hAnsi="仿宋" w:eastAsia="仿宋" w:cs="仿宋"/>
                <w:sz w:val="24"/>
                <w:szCs w:val="24"/>
                <w:vertAlign w:val="baseline"/>
                <w:lang w:val="en-US" w:eastAsia="zh-CN"/>
              </w:rPr>
            </w:pPr>
          </w:p>
        </w:tc>
        <w:tc>
          <w:tcPr>
            <w:tcW w:w="2769" w:type="dxa"/>
            <w:vMerge w:val="continue"/>
            <w:vAlign w:val="center"/>
          </w:tcPr>
          <w:p w14:paraId="6F3227A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58E15F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2.特色项目如“院士精神融入教学”“生活英语项目”“乡村振兴英语课堂”等已有初步成效，但缺乏系统提炼与标准化建设，难以复制推广。</w:t>
            </w:r>
          </w:p>
        </w:tc>
        <w:tc>
          <w:tcPr>
            <w:tcW w:w="4701" w:type="dxa"/>
            <w:vAlign w:val="center"/>
          </w:tcPr>
          <w:p w14:paraId="325B6B5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建立“特色项目标准化建设机制”，形成可复制、可推广的项目模板（课程包、活动手册、评价体系），推动特色项目从“点状创新”走向“系统输出”。</w:t>
            </w:r>
          </w:p>
        </w:tc>
      </w:tr>
      <w:tr w14:paraId="0A6F2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950" w:type="dxa"/>
            <w:vMerge w:val="continue"/>
            <w:vAlign w:val="center"/>
          </w:tcPr>
          <w:p w14:paraId="47F639C6">
            <w:pPr>
              <w:jc w:val="left"/>
              <w:rPr>
                <w:rFonts w:hint="eastAsia" w:ascii="仿宋" w:hAnsi="仿宋" w:eastAsia="仿宋" w:cs="仿宋"/>
                <w:sz w:val="24"/>
                <w:szCs w:val="24"/>
                <w:vertAlign w:val="baseline"/>
                <w:lang w:val="en-US" w:eastAsia="zh-CN"/>
              </w:rPr>
            </w:pPr>
          </w:p>
        </w:tc>
        <w:tc>
          <w:tcPr>
            <w:tcW w:w="2769" w:type="dxa"/>
            <w:vMerge w:val="continue"/>
            <w:vAlign w:val="center"/>
          </w:tcPr>
          <w:p w14:paraId="3C14ACF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E5739A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3.特色创新成果与教学融合深度不够，部分项目停留在活动层面，未完全转化为课程内容、教学资源或人才培养环节。</w:t>
            </w:r>
          </w:p>
        </w:tc>
        <w:tc>
          <w:tcPr>
            <w:tcW w:w="4701" w:type="dxa"/>
            <w:vAlign w:val="center"/>
          </w:tcPr>
          <w:p w14:paraId="772A656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推动“特色项目课程化”，将“院士精神”“生活英语”“乡村振兴”等主题转化为必修或选修课程模块，纳入人才培养方案，实现“活动—课程—能力”闭环。</w:t>
            </w:r>
          </w:p>
        </w:tc>
      </w:tr>
    </w:tbl>
    <w:p w14:paraId="38778BB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ascii="仿宋" w:hAnsi="仿宋" w:eastAsia="仿宋" w:cs="仿宋"/>
          <w:b/>
          <w:bCs/>
          <w:sz w:val="30"/>
          <w:szCs w:val="30"/>
          <w:u w:val="none"/>
          <w:lang w:val="en-US" w:eastAsia="zh-CN"/>
        </w:rPr>
      </w:pPr>
      <w:r>
        <w:rPr>
          <w:rFonts w:hint="eastAsia" w:ascii="仿宋" w:hAnsi="仿宋" w:eastAsia="仿宋" w:cs="仿宋"/>
          <w:b/>
          <w:bCs/>
          <w:sz w:val="30"/>
          <w:szCs w:val="30"/>
          <w:lang w:val="en-US" w:eastAsia="zh-CN"/>
        </w:rPr>
        <w:t>专家签字：</w:t>
      </w:r>
      <w:r>
        <w:rPr>
          <w:rFonts w:hint="eastAsia" w:ascii="仿宋" w:hAnsi="仿宋" w:eastAsia="仿宋" w:cs="仿宋"/>
          <w:b/>
          <w:bCs/>
          <w:sz w:val="30"/>
          <w:szCs w:val="30"/>
          <w:u w:val="single"/>
          <w:lang w:val="en-US" w:eastAsia="zh-CN"/>
        </w:rPr>
        <w:t xml:space="preserve">                            </w:t>
      </w:r>
      <w:r>
        <w:rPr>
          <w:rFonts w:hint="eastAsia" w:ascii="仿宋" w:hAnsi="仿宋" w:eastAsia="仿宋" w:cs="仿宋"/>
          <w:b/>
          <w:bCs/>
          <w:sz w:val="30"/>
          <w:szCs w:val="30"/>
          <w:u w:val="none"/>
          <w:lang w:val="en-US" w:eastAsia="zh-CN"/>
        </w:rPr>
        <w:t xml:space="preserve">                                         </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年</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月</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日</w:t>
      </w:r>
    </w:p>
    <w:sectPr>
      <w:footerReference r:id="rId3" w:type="default"/>
      <w:pgSz w:w="16838" w:h="11906" w:orient="landscape"/>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395C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141A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A141A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E5720"/>
    <w:rsid w:val="0352756A"/>
    <w:rsid w:val="07733550"/>
    <w:rsid w:val="0A6773A4"/>
    <w:rsid w:val="0CF815A1"/>
    <w:rsid w:val="0DF20A80"/>
    <w:rsid w:val="157B3666"/>
    <w:rsid w:val="26DA2657"/>
    <w:rsid w:val="2B9A6FDE"/>
    <w:rsid w:val="3EFC2A3B"/>
    <w:rsid w:val="49B7108B"/>
    <w:rsid w:val="5F0E4AFA"/>
    <w:rsid w:val="5F85532D"/>
    <w:rsid w:val="5FAD406B"/>
    <w:rsid w:val="64782954"/>
    <w:rsid w:val="68CE07F4"/>
    <w:rsid w:val="6B2F073B"/>
    <w:rsid w:val="6CFCFBAE"/>
    <w:rsid w:val="707E5720"/>
    <w:rsid w:val="7E7F85B1"/>
    <w:rsid w:val="F37F2D4B"/>
    <w:rsid w:val="F6F76BCF"/>
    <w:rsid w:val="FBEFC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customStyle="1" w:styleId="8">
    <w:name w:val="font21"/>
    <w:basedOn w:val="6"/>
    <w:qFormat/>
    <w:uiPriority w:val="0"/>
    <w:rPr>
      <w:rFonts w:ascii="Segoe UI" w:hAnsi="Segoe UI" w:eastAsia="Segoe UI" w:cs="Segoe UI"/>
      <w:color w:val="000000"/>
      <w:sz w:val="21"/>
      <w:szCs w:val="21"/>
      <w:u w:val="none"/>
    </w:rPr>
  </w:style>
  <w:style w:type="character" w:customStyle="1" w:styleId="9">
    <w:name w:val="font11"/>
    <w:basedOn w:val="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8784</Words>
  <Characters>9046</Characters>
  <Lines>0</Lines>
  <Paragraphs>0</Paragraphs>
  <TotalTime>3</TotalTime>
  <ScaleCrop>false</ScaleCrop>
  <LinksUpToDate>false</LinksUpToDate>
  <CharactersWithSpaces>9274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2025-04-24T17:50:00Z</dcterms:created>
  <dc:creator>心云间</dc:creator>
  <cp:lastModifiedBy>一半</cp:lastModifiedBy>
  <dcterms:modified xsi:type="dcterms:W3CDTF">2025-11-24T00:31:03Z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961AED2A544A4C8C903E16F9CE7925F6_11</vt:lpwstr>
  </property>
  <property fmtid="{D5CDD505-2E9C-101B-9397-08002B2CF9AE}" pid="4" name="KSOTemplateDocerSaveRecord">
    <vt:lpwstr>eyJoZGlkIjoiOGZkOTc2N2JjMGUyMmEyMTk1ZDRlNzNiNDM5ZTI4NWEiLCJ1c2VySWQiOiIxMTM3MTQ0OTYzIn0=</vt:lpwstr>
  </property>
</Properties>
</file>