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福州英华职业学院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产教融合校企合作考核指标体系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公共基础部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5"/>
        <w:gridCol w:w="1590"/>
        <w:gridCol w:w="5013"/>
        <w:gridCol w:w="464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一级指标</w:t>
            </w: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二级指标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指标说明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评分细则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25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1.组织与机制建设（5分）</w:t>
            </w: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1.1 组织架构与领导力（3分）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1.成立产教融合校企合作工作小组，明确职责分工与运行机制，确保工作有效推进；</w:t>
            </w:r>
          </w:p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2.将产教融合工作纳入重点工作范畴，常态化研究部署，明确班子成员分工；</w:t>
            </w:r>
          </w:p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3.按要求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参加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学院产教融合工作领导小组及办公室组织的各类会议、调研等活动。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 xml:space="preserve">①成立产教融合工作小组，分工明确、职责清晰、运行有效（1分）； </w:t>
            </w:r>
          </w:p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②产教融合校企合作机制健全，组织架构清晰，人员构成合理，权责明确，运行管理规范（1分）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③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每月召开 1 次产教融合专题研究部署会议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（学年≥8次得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1 分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，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缺1次扣0.2 分，扣完为止）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工作小组文件、会议记录、</w:t>
            </w:r>
            <w:bookmarkStart w:id="0" w:name="OLE_LINK1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活动记录等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5" w:hRule="atLeast"/>
        </w:trPr>
        <w:tc>
          <w:tcPr>
            <w:tcW w:w="1325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1.2 计划与总结（2分）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1.结合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与产教融合工作实际，制定产教融合校企合作工作计划；</w:t>
            </w:r>
          </w:p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2.学年末提交含具体成果数据、问题分析及改进计划的产教融合校企合作工作总结；</w:t>
            </w:r>
          </w:p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3.严格执行学院发布的产教融合校企合作相关管理制度与操作规范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①制定并按时提交产教融合工作计划，计划须符合实际（1 分）；</w:t>
            </w:r>
          </w:p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②学年末按时提交产教融合工作总结，总结须含成果数据（1分）；</w:t>
            </w:r>
          </w:p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③以上计划与总结迟交 3天扣 0.5 分，迟交超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 w:bidi="ar"/>
              </w:rPr>
              <w:t>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1周或未交不得分。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工作计划、工作总结（含成果数据）等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0" w:hRule="atLeast"/>
        </w:trPr>
        <w:tc>
          <w:tcPr>
            <w:tcW w:w="1325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2.人才共育</w:t>
            </w:r>
            <w:r>
              <w:rPr>
                <w:rFonts w:ascii="仿宋" w:hAnsi="仿宋" w:eastAsia="仿宋"/>
                <w:b/>
                <w:bCs/>
                <w:color w:val="auto"/>
                <w:highlight w:val="none"/>
              </w:rPr>
              <w:t xml:space="preserve"> (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b/>
                <w:bCs/>
                <w:color w:val="auto"/>
                <w:highlight w:val="none"/>
              </w:rPr>
              <w:t>分)</w:t>
            </w: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2.1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根据职业需求，构建应用型+素养型基础课程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20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通过企业实践，围绕专业群对应的产业岗位群对基础能力的需求，重构教学内容，让公共基础课服务于职业需求。开发专业场景化英语模块；对接产业数据处理需求，引入特定的数学应用场景；开发符合职业需要的适应性体育课程项目；强化职业场景写作与沟通。​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对于大学英语、高等数学、体育、大学语文等课程，能针对企业实际开展职业化教育场景，开发特定项目均不少于3项，且应用于教学。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项目；教案等。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325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5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共编产业导向教材/讲义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(8分）</w:t>
            </w:r>
          </w:p>
        </w:tc>
        <w:tc>
          <w:tcPr>
            <w:tcW w:w="50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利用企业真实案例、行业标准等材料，编制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相关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教材或讲义。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共同编制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教材/讲义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一部以上，且正式使用，效果良好（8分）    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讲义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2" w:hRule="atLeast"/>
        </w:trPr>
        <w:tc>
          <w:tcPr>
            <w:tcW w:w="1325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5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建设数据字资源库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（7分）</w:t>
            </w:r>
          </w:p>
        </w:tc>
        <w:tc>
          <w:tcPr>
            <w:tcW w:w="50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通过采集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企业场景英语对话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职场沟通雷区等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制作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短平快资源；收集企业在英语沟通、数据应用、健康管理等方面的真实案例，作为教学素材。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资源与案例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来源清晰、内容典型、形式多样。短平快资源（如情景短视频、案例分析等）针对性强；“职场沟通雷区”等场景剖析深刻；所收集的三大领域（英语、数据、健康）企业案例丰富、真实、可直接应用于教学，显著提升课程与实践的关联度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(7分）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企业场景短片、职场沟通情景剧、案例集等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3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3.基地共建（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分）</w:t>
            </w: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3.1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实践教学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基地建设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5分）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与企事业单位共建稳定的实践教学基地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共建挂牌基地≥1个，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签订实质性合作协议并开展教学活动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，正常运行（5分）。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合作协议、挂牌活动记录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1325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4.人员互聘（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分）</w:t>
            </w: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教师入企跟岗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教师每学年到合作企业开展实践锻炼（含挂职锻炼、项目合作等）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每个学科赴深度合作企业跟岗实践的不少于1人，累计时间不少于1个月，得7分。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教师实践考核表、企业鉴定意见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1325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59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为企业提供员工基础能力培训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501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为外贸企业员工提供“商务英语沟通”培训；</w:t>
            </w:r>
          </w:p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为企业设计“工间操”“职业健康讲座”；</w:t>
            </w:r>
          </w:p>
          <w:p>
            <w:pPr>
              <w:pStyle w:val="38"/>
              <w:spacing w:line="300" w:lineRule="exac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为企业行政人员提供“职场文书写作”指导。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为合作企业员工开展基础能力培训1项以上且人数不少于10人，得8分，未开展不得分。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培训资料、签到表等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1325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企业能工巧匠进课堂</w:t>
            </w:r>
          </w:p>
          <w:p>
            <w:pPr>
              <w:jc w:val="both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每学年至少聘请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名企业技术骨干/管理专家担任行业导师，参与课程教学等工作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聘请企业技术骨干、管理人才或能工巧匠担任兼职教师或导师，并实际参与教学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课时数不低于20节次，得5分，未落实得0分。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兼职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及导师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备案表、课程安排表、课时统计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</w:trPr>
        <w:tc>
          <w:tcPr>
            <w:tcW w:w="132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5.研发合作（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分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）</w:t>
            </w: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合作企业参与课题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（10分）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联合合作企业申报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纵横向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课题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项目不少于1项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来自合作企业横向课题数不少于1项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①校企合作企业参与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纵横向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课题申报，参与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课题1项以上得5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未参与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不得分；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来自合作企业横向课题数不少于1项，1项以上得5分，没有的得0分。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课题清单，经费到账记录等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1325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6.文化共融（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6.1 文化融合活动频次（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bidi="ar"/>
              </w:rPr>
              <w:t>1. 每学年组织开展校企文化融合活动不少于 4 场，活动类型包括但不限于企业开放日、工匠进校园、师生企业实践分享会等；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2.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 xml:space="preserve">每场校企文化融合活动实际参与人数（含学生、教师、企业代表）不低于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0 人。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  <w:t>每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年开展校企文化活动（如企业开放日、行业讲座）≥4场，单场活动校企双方参与总人数不低于30人，每少1场扣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  <w:t>活动方案、签到记录、新闻报道、照片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</w:trPr>
        <w:tc>
          <w:tcPr>
            <w:tcW w:w="1325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5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6.2区域文化传承项目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参与企业文化建设项目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5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协助企业提炼企业文化故事（用于语文课程素材）；为企业设计“员工体育文化节”方案（融合团队协作项目）</w:t>
            </w:r>
          </w:p>
        </w:tc>
        <w:tc>
          <w:tcPr>
            <w:tcW w:w="46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学年开展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≥1项协助企业提炼企业文化故事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为企业设计“员工体育文化节”方案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并形成成果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得15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分，未开展不得分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6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项目结项书、文化成果展示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特色与创新工作（附加分）</w:t>
      </w:r>
    </w:p>
    <w:tbl>
      <w:tblPr>
        <w:tblStyle w:val="17"/>
        <w:tblpPr w:leftFromText="180" w:rightFromText="180" w:bottomFromText="160" w:vertAnchor="text" w:horzAnchor="page" w:tblpX="1538" w:tblpY="31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011"/>
        <w:gridCol w:w="2271"/>
        <w:gridCol w:w="1360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量化标准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评分细则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 省级及以上重大成果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国家级重大产教融合成果：包括国家级示范性职业教育集团（联盟）、国家级职业教育在线精品课程、国家级现代产业学院试点项目、国家级产教融合实训基地、国家级职业教育虚拟仿真实训基地、国家级职业教育专业教学资源库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省级重大产教融合成果：包括省级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市域产教联合体、行业产教融合共同体、产业学院、职教集团（联盟）、实训基地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3.教育部产学合作协同育人项目：包括教育部公布的年度产学合作协同育人立项项目。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20分/项；省级项目：10分/项；教育部产学合作协同育人项目：5分/项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20分/项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bidi="ar"/>
              </w:rPr>
              <w:t>认定文件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评分规则</w:t>
      </w:r>
      <w:r>
        <w:rPr>
          <w:rFonts w:hint="eastAsia" w:ascii="仿宋" w:hAnsi="仿宋" w:eastAsia="仿宋" w:cs="仿宋"/>
        </w:rPr>
        <w:t>：总分由指标评分加特色分构成，上不封顶。学年度产教融合校企合作考核的得分，按5%的权重进行折算（保留两位小数），作为学年度绩效考核的最终分值。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5"/>
    <w:rsid w:val="000A06CA"/>
    <w:rsid w:val="0014721F"/>
    <w:rsid w:val="001C0997"/>
    <w:rsid w:val="001C508F"/>
    <w:rsid w:val="002A0B93"/>
    <w:rsid w:val="004202A4"/>
    <w:rsid w:val="0053631F"/>
    <w:rsid w:val="005454AB"/>
    <w:rsid w:val="0057677C"/>
    <w:rsid w:val="005C73A2"/>
    <w:rsid w:val="006020EF"/>
    <w:rsid w:val="00611216"/>
    <w:rsid w:val="006551D5"/>
    <w:rsid w:val="006A3B2C"/>
    <w:rsid w:val="007125EA"/>
    <w:rsid w:val="00751D8A"/>
    <w:rsid w:val="00760392"/>
    <w:rsid w:val="00772125"/>
    <w:rsid w:val="00794D7D"/>
    <w:rsid w:val="007C02FA"/>
    <w:rsid w:val="007D2885"/>
    <w:rsid w:val="00862A09"/>
    <w:rsid w:val="00916C7A"/>
    <w:rsid w:val="0095652A"/>
    <w:rsid w:val="009742A2"/>
    <w:rsid w:val="009E36F0"/>
    <w:rsid w:val="00A3459A"/>
    <w:rsid w:val="00A474E7"/>
    <w:rsid w:val="00A6046D"/>
    <w:rsid w:val="00B5239F"/>
    <w:rsid w:val="00B70BAF"/>
    <w:rsid w:val="00B80833"/>
    <w:rsid w:val="00BB1712"/>
    <w:rsid w:val="00BC581B"/>
    <w:rsid w:val="00C01D2F"/>
    <w:rsid w:val="00C366D5"/>
    <w:rsid w:val="00C5115A"/>
    <w:rsid w:val="00CE6763"/>
    <w:rsid w:val="00D51606"/>
    <w:rsid w:val="00E5744F"/>
    <w:rsid w:val="00EB1CB7"/>
    <w:rsid w:val="00F0318C"/>
    <w:rsid w:val="00F613DC"/>
    <w:rsid w:val="00F62137"/>
    <w:rsid w:val="00F724DC"/>
    <w:rsid w:val="00FB15FC"/>
    <w:rsid w:val="016F7B4C"/>
    <w:rsid w:val="08865DDF"/>
    <w:rsid w:val="09201D93"/>
    <w:rsid w:val="0AD069DF"/>
    <w:rsid w:val="0BD30A48"/>
    <w:rsid w:val="0C2D1330"/>
    <w:rsid w:val="0FE70D20"/>
    <w:rsid w:val="13944E7F"/>
    <w:rsid w:val="140F56E9"/>
    <w:rsid w:val="179D7CAF"/>
    <w:rsid w:val="1A29675A"/>
    <w:rsid w:val="1C0227D6"/>
    <w:rsid w:val="1FC939B9"/>
    <w:rsid w:val="2350145F"/>
    <w:rsid w:val="266D2F5B"/>
    <w:rsid w:val="2E8D4862"/>
    <w:rsid w:val="32114AB2"/>
    <w:rsid w:val="35A3291D"/>
    <w:rsid w:val="3A3A3CEA"/>
    <w:rsid w:val="3E2C55C2"/>
    <w:rsid w:val="43AF6D8A"/>
    <w:rsid w:val="440F7B90"/>
    <w:rsid w:val="442143FB"/>
    <w:rsid w:val="48EC1001"/>
    <w:rsid w:val="49BD30FA"/>
    <w:rsid w:val="4A057900"/>
    <w:rsid w:val="4E3E3D6D"/>
    <w:rsid w:val="518C2B31"/>
    <w:rsid w:val="548754D2"/>
    <w:rsid w:val="5BD539F1"/>
    <w:rsid w:val="5C710993"/>
    <w:rsid w:val="5CC74453"/>
    <w:rsid w:val="5DB055F5"/>
    <w:rsid w:val="5F281CED"/>
    <w:rsid w:val="61014BC0"/>
    <w:rsid w:val="62736514"/>
    <w:rsid w:val="63D543C0"/>
    <w:rsid w:val="65B5728D"/>
    <w:rsid w:val="683A26F9"/>
    <w:rsid w:val="68E57808"/>
    <w:rsid w:val="6E2E60E0"/>
    <w:rsid w:val="796C3C54"/>
    <w:rsid w:val="7CFC5456"/>
    <w:rsid w:val="7D67516A"/>
    <w:rsid w:val="7E2D2C45"/>
    <w:rsid w:val="7E425083"/>
    <w:rsid w:val="7F9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2967</Words>
  <Characters>3047</Characters>
  <Lines>138</Lines>
  <Paragraphs>87</Paragraphs>
  <TotalTime>25</TotalTime>
  <ScaleCrop>false</ScaleCrop>
  <LinksUpToDate>false</LinksUpToDate>
  <CharactersWithSpaces>3093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2025-10-23T05:47:00Z</dcterms:created>
  <dc:creator>xq l</dc:creator>
  <cp:lastModifiedBy>晴天-君</cp:lastModifiedBy>
  <dcterms:modified xsi:type="dcterms:W3CDTF">2025-11-18T00:49:21Z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eyJoZGlkIjoiZWVlODYxN2ZhMjY3NWZiNTU2NDkyMDU0ODVjNzk5NjAiLCJ1c2VySWQiOiIzNzgwMTU3MDIifQ==</vt:lpwstr>
  </property>
  <property fmtid="{D5CDD505-2E9C-101B-9397-08002B2CF9AE}" pid="4" name="ICV">
    <vt:lpwstr>ADF13A65990748188A77BDD913CACFDA_12</vt:lpwstr>
  </property>
</Properties>
</file>