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7D871">
      <w:pPr>
        <w:spacing w:line="240" w:lineRule="auto"/>
        <w:jc w:val="both"/>
        <w:rPr>
          <w:rFonts w:hint="eastAsia" w:ascii="方正小标宋简体" w:hAnsi="方正小标宋简体" w:eastAsia="方正小标宋简体" w:cs="方正小标宋简体"/>
          <w:color w:val="auto"/>
          <w:sz w:val="40"/>
          <w:szCs w:val="40"/>
        </w:rPr>
      </w:pPr>
    </w:p>
    <w:p w14:paraId="12538B68">
      <w:pPr>
        <w:pStyle w:val="2"/>
        <w:rPr>
          <w:rFonts w:hint="eastAsia"/>
          <w:color w:val="auto"/>
        </w:rPr>
      </w:pPr>
    </w:p>
    <w:p w14:paraId="2F3E027E">
      <w:pPr>
        <w:pStyle w:val="7"/>
        <w:rPr>
          <w:rFonts w:hint="eastAsia"/>
          <w:color w:val="auto"/>
        </w:rPr>
      </w:pPr>
    </w:p>
    <w:p w14:paraId="03D17CC2">
      <w:pPr>
        <w:jc w:val="center"/>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44"/>
          <w:szCs w:val="44"/>
        </w:rPr>
        <mc:AlternateContent>
          <mc:Choice Requires="wps">
            <w:drawing>
              <wp:anchor distT="0" distB="0" distL="114300" distR="114300" simplePos="0" relativeHeight="251660288" behindDoc="0" locked="0" layoutInCell="1" allowOverlap="1">
                <wp:simplePos x="0" y="0"/>
                <wp:positionH relativeFrom="column">
                  <wp:posOffset>3242945</wp:posOffset>
                </wp:positionH>
                <wp:positionV relativeFrom="paragraph">
                  <wp:posOffset>384810</wp:posOffset>
                </wp:positionV>
                <wp:extent cx="1428115" cy="711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28115" cy="711200"/>
                        </a:xfrm>
                        <a:prstGeom prst="rect">
                          <a:avLst/>
                        </a:prstGeom>
                        <a:noFill/>
                        <a:ln>
                          <a:noFill/>
                        </a:ln>
                      </wps:spPr>
                      <wps:txbx>
                        <w:txbxContent>
                          <w:p w14:paraId="70893B13">
                            <w:pPr>
                              <w:rPr>
                                <w:b/>
                                <w:w w:val="80"/>
                                <w:sz w:val="70"/>
                                <w:szCs w:val="70"/>
                              </w:rPr>
                            </w:pPr>
                          </w:p>
                        </w:txbxContent>
                      </wps:txbx>
                      <wps:bodyPr upright="1"/>
                    </wps:wsp>
                  </a:graphicData>
                </a:graphic>
              </wp:anchor>
            </w:drawing>
          </mc:Choice>
          <mc:Fallback>
            <w:pict>
              <v:shape id="_x0000_s1026" o:spid="_x0000_s1026" o:spt="202" type="#_x0000_t202" style="position:absolute;left:0pt;margin-left:255.35pt;margin-top:30.3pt;height:56pt;width:112.45pt;z-index:251660288;mso-width-relative:page;mso-height-relative:page;" filled="f" stroked="f" coordsize="21600,21600" o:gfxdata="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kG1hNcAAAAK&#10;AQAADwAAAAAAAAABACAAAAAiAAAAZHJzL2Rvd25yZXYueG1sUEsBAhQAFAAAAAgAh07iQKyKxg2r&#10;AQAATgMAAA4AAAAAAAAAAQAgAAAAJgEAAGRycy9lMm9Eb2MueG1sUEsFBgAAAAAGAAYAWQEAAEMF&#10;AAAAAA==&#10;">
                <v:fill on="f" focussize="0,0"/>
                <v:stroke on="f"/>
                <v:imagedata o:title=""/>
                <o:lock v:ext="edit" aspectratio="f"/>
                <v:textbox>
                  <w:txbxContent>
                    <w:p w14:paraId="70893B13">
                      <w:pPr>
                        <w:rPr>
                          <w:b/>
                          <w:w w:val="80"/>
                          <w:sz w:val="70"/>
                          <w:szCs w:val="70"/>
                        </w:rPr>
                      </w:pPr>
                    </w:p>
                  </w:txbxContent>
                </v:textbox>
              </v:shape>
            </w:pict>
          </mc:Fallback>
        </mc:AlternateContent>
      </w:r>
      <w:r>
        <w:rPr>
          <w:rFonts w:hint="eastAsia" w:ascii="方正小标宋简体" w:hAnsi="方正小标宋简体" w:eastAsia="方正小标宋简体" w:cs="方正小标宋简体"/>
          <w:color w:val="auto"/>
          <w:sz w:val="52"/>
          <w:szCs w:val="52"/>
        </w:rPr>
        <w:t xml:space="preserve">    </w:t>
      </w:r>
    </w:p>
    <w:p w14:paraId="66F1FABD">
      <w:pPr>
        <w:spacing w:line="240" w:lineRule="auto"/>
        <w:jc w:val="center"/>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 xml:space="preserve">   </w:t>
      </w:r>
    </w:p>
    <w:p w14:paraId="12907A6D">
      <w:pPr>
        <w:jc w:val="center"/>
        <w:rPr>
          <w:rFonts w:hint="eastAsia" w:ascii="仿宋" w:hAnsi="仿宋" w:eastAsia="仿宋" w:cs="仿宋_GB2312"/>
          <w:color w:val="auto"/>
          <w:sz w:val="32"/>
          <w:szCs w:val="32"/>
        </w:rPr>
      </w:pPr>
    </w:p>
    <w:p w14:paraId="7A4EFA6C">
      <w:pPr>
        <w:jc w:val="center"/>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榕</w:t>
      </w:r>
      <w:r>
        <w:rPr>
          <w:rFonts w:hint="eastAsia" w:ascii="仿宋" w:hAnsi="仿宋" w:eastAsia="仿宋" w:cs="仿宋_GB2312"/>
          <w:color w:val="auto"/>
          <w:sz w:val="32"/>
          <w:szCs w:val="32"/>
        </w:rPr>
        <w:t>英华学</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5〕37</w:t>
      </w:r>
      <w:r>
        <w:rPr>
          <w:rFonts w:hint="eastAsia" w:ascii="仿宋" w:hAnsi="仿宋" w:eastAsia="仿宋" w:cs="仿宋_GB2312"/>
          <w:color w:val="auto"/>
          <w:sz w:val="32"/>
          <w:szCs w:val="32"/>
        </w:rPr>
        <w:t>号</w:t>
      </w:r>
    </w:p>
    <w:p w14:paraId="4A190E12">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方正小标宋简体" w:hAnsi="方正小标宋简体" w:eastAsia="方正小标宋简体" w:cs="方正小标宋简体"/>
          <w:color w:val="auto"/>
          <w:sz w:val="44"/>
          <w:szCs w:val="44"/>
          <w:lang w:val="en-US" w:eastAsia="zh-CN"/>
        </w:rPr>
      </w:pPr>
    </w:p>
    <w:p w14:paraId="38D01C85">
      <w:pPr>
        <w:jc w:val="center"/>
        <w:rPr>
          <w:rFonts w:hint="eastAsia" w:ascii="宋体" w:hAnsi="宋体" w:eastAsia="宋体" w:cs="宋体"/>
          <w:b/>
          <w:bCs/>
          <w:color w:val="auto"/>
          <w:spacing w:val="0"/>
          <w:w w:val="98"/>
          <w:kern w:val="0"/>
          <w:sz w:val="44"/>
          <w:szCs w:val="44"/>
          <w:lang w:val="en-US" w:eastAsia="zh-CN" w:bidi="ar"/>
        </w:rPr>
      </w:pPr>
      <w:r>
        <w:rPr>
          <w:rFonts w:hint="eastAsia" w:ascii="宋体" w:hAnsi="宋体" w:eastAsia="宋体" w:cs="宋体"/>
          <w:b/>
          <w:bCs/>
          <w:color w:val="auto"/>
          <w:spacing w:val="0"/>
          <w:w w:val="98"/>
          <w:kern w:val="0"/>
          <w:sz w:val="44"/>
          <w:szCs w:val="44"/>
          <w:lang w:val="en-US" w:eastAsia="zh-CN" w:bidi="ar"/>
        </w:rPr>
        <w:t>关于印发《福州英华职业学院</w:t>
      </w:r>
    </w:p>
    <w:p w14:paraId="7882BF6E">
      <w:pPr>
        <w:jc w:val="center"/>
        <w:rPr>
          <w:rFonts w:hint="eastAsia" w:ascii="宋体" w:hAnsi="宋体" w:eastAsia="仿宋"/>
          <w:b/>
          <w:color w:val="auto"/>
          <w:sz w:val="36"/>
          <w:szCs w:val="36"/>
          <w:lang w:eastAsia="zh-CN"/>
        </w:rPr>
      </w:pPr>
      <w:r>
        <w:rPr>
          <w:rFonts w:hint="eastAsia" w:ascii="宋体" w:hAnsi="宋体" w:cs="宋体"/>
          <w:b/>
          <w:bCs/>
          <w:color w:val="auto"/>
          <w:spacing w:val="0"/>
          <w:w w:val="98"/>
          <w:kern w:val="0"/>
          <w:sz w:val="44"/>
          <w:szCs w:val="44"/>
          <w:lang w:val="en-US" w:eastAsia="zh-CN" w:bidi="ar"/>
        </w:rPr>
        <w:t>2026</w:t>
      </w:r>
      <w:r>
        <w:rPr>
          <w:rFonts w:hint="eastAsia" w:ascii="宋体" w:hAnsi="宋体" w:eastAsia="宋体" w:cs="宋体"/>
          <w:b/>
          <w:bCs/>
          <w:color w:val="auto"/>
          <w:spacing w:val="0"/>
          <w:w w:val="98"/>
          <w:kern w:val="0"/>
          <w:sz w:val="44"/>
          <w:szCs w:val="44"/>
          <w:lang w:val="en-US" w:eastAsia="zh-CN" w:bidi="ar"/>
        </w:rPr>
        <w:t>年就业创业工作实施方案》的通知</w:t>
      </w:r>
    </w:p>
    <w:p w14:paraId="6AA1F254">
      <w:pPr>
        <w:pStyle w:val="4"/>
        <w:keepNext w:val="0"/>
        <w:keepLines w:val="0"/>
        <w:pageBreakBefore w:val="0"/>
        <w:widowControl w:val="0"/>
        <w:kinsoku/>
        <w:wordWrap/>
        <w:overflowPunct/>
        <w:topLinePunct w:val="0"/>
        <w:autoSpaceDE/>
        <w:autoSpaceDN/>
        <w:bidi w:val="0"/>
        <w:adjustRightInd/>
        <w:spacing w:line="560" w:lineRule="exact"/>
        <w:textAlignment w:val="auto"/>
        <w:rPr>
          <w:rFonts w:hint="eastAsia"/>
          <w:color w:val="auto"/>
          <w:lang w:val="en-US" w:eastAsia="zh-CN"/>
        </w:rPr>
      </w:pPr>
    </w:p>
    <w:p w14:paraId="520B1FC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各处室、系（院、部）、馆：</w:t>
      </w:r>
    </w:p>
    <w:p w14:paraId="6C214A99">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为认真贯彻落实全国、全省毕业生就业工作会议和有关文件精神，扎实推进我院2026届毕业生就业创业工作，结合学院实际，特制订《福州英华职业学院2026年就业创业工作实施方案》，经2025年12月11日院务会议研究通过，现予以印发，请遵照执行。</w:t>
      </w:r>
    </w:p>
    <w:p w14:paraId="7154A09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附件：福州英华职业学院2026年就业创业工作实施方案</w:t>
      </w:r>
    </w:p>
    <w:p w14:paraId="5CEA092C">
      <w:pPr>
        <w:jc w:val="right"/>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福州英华职业学院</w:t>
      </w:r>
    </w:p>
    <w:p w14:paraId="48F29278">
      <w:pPr>
        <w:jc w:val="right"/>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2025年12月17日</w:t>
      </w:r>
    </w:p>
    <w:p w14:paraId="49CB6B2C">
      <w:pPr>
        <w:pStyle w:val="2"/>
        <w:ind w:left="0" w:leftChars="0" w:firstLine="0" w:firstLineChars="0"/>
        <w:rPr>
          <w:rFonts w:hint="eastAsia"/>
          <w:color w:val="auto"/>
          <w:lang w:val="en-US" w:eastAsia="zh-CN"/>
        </w:rPr>
      </w:pPr>
    </w:p>
    <w:p w14:paraId="4DAB74B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pacing w:val="0"/>
          <w:w w:val="98"/>
          <w:kern w:val="0"/>
          <w:sz w:val="44"/>
          <w:szCs w:val="44"/>
          <w:lang w:val="en-US" w:eastAsia="zh-CN" w:bidi="ar"/>
        </w:rPr>
      </w:pPr>
      <w:r>
        <w:rPr>
          <w:rFonts w:hint="eastAsia" w:ascii="方正小标宋简体" w:hAnsi="方正小标宋简体" w:eastAsia="方正小标宋简体" w:cs="方正小标宋简体"/>
          <w:b w:val="0"/>
          <w:bCs w:val="0"/>
          <w:color w:val="auto"/>
          <w:spacing w:val="0"/>
          <w:w w:val="98"/>
          <w:kern w:val="0"/>
          <w:sz w:val="44"/>
          <w:szCs w:val="44"/>
          <w:lang w:val="en-US" w:eastAsia="zh-CN" w:bidi="ar"/>
        </w:rPr>
        <w:t>福州英华职业学院</w:t>
      </w:r>
    </w:p>
    <w:p w14:paraId="47A2D46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pacing w:val="0"/>
          <w:w w:val="98"/>
          <w:kern w:val="0"/>
          <w:sz w:val="44"/>
          <w:szCs w:val="44"/>
          <w:lang w:val="en-US" w:eastAsia="zh-CN" w:bidi="ar"/>
        </w:rPr>
      </w:pPr>
      <w:r>
        <w:rPr>
          <w:rFonts w:hint="eastAsia" w:ascii="方正小标宋简体" w:hAnsi="方正小标宋简体" w:eastAsia="方正小标宋简体" w:cs="方正小标宋简体"/>
          <w:b w:val="0"/>
          <w:bCs w:val="0"/>
          <w:color w:val="auto"/>
          <w:spacing w:val="0"/>
          <w:w w:val="98"/>
          <w:kern w:val="0"/>
          <w:sz w:val="44"/>
          <w:szCs w:val="44"/>
          <w:lang w:val="en-US" w:eastAsia="zh-CN" w:bidi="ar"/>
        </w:rPr>
        <w:t>2026年就业创业工作实施方案</w:t>
      </w:r>
    </w:p>
    <w:p w14:paraId="71CB815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一、指导思想及工作目标</w:t>
      </w:r>
    </w:p>
    <w:p w14:paraId="5F62AB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为切实贯彻落实教育部及省教育厅关于2026届高校毕业生就业工作的相关文件精神，依据《福建省教育厅关于启动2026届高校毕业生就业工作的通知》（闽教便函〔2025〕1312号）要求，扎实推进我院毕业生就业工作，持续提升人才培养质量，积极助力毕业生顺利毕业、实现更高质量更充分就业，结合学院实际，特制订《福州英华职业学院2026年就业创业工作实施方案》，聚焦2026届重点，精准推动提质增效，确保我院2026届毕业生去向落实率不低于97%。</w:t>
      </w:r>
    </w:p>
    <w:p w14:paraId="60300C4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二、组织机构与工作原则</w:t>
      </w:r>
    </w:p>
    <w:p w14:paraId="2A839F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一）要切实落实就业“一把手”工程，主要负责同志要亲自部署，分管负责同志要靠前指挥。要将毕业生就业工作纳入各系（处）领导考核，适时开展就业工作督促检查，推动逐级落实就业工作责任。要把毕业生就业作为重中之重、摆在更加突出的位置，纳入学院重要议事日程，健全就业促进机制。</w:t>
      </w:r>
    </w:p>
    <w:p w14:paraId="5C05D7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（二）结合实际，全面推进2026届毕业生就业工作。各系是学院毕业生就业工作的主体，具体负责和组织实施毕业生就业工作。</w:t>
      </w:r>
    </w:p>
    <w:p w14:paraId="1FCB23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（三）各系要高度重视，广泛动员，形成合力，主动、积极、有效开展毕业生就业工作。学院发挥全体教师中坚力量，做到人人参与为学生毕业、就业做好服务工作。</w:t>
      </w:r>
    </w:p>
    <w:p w14:paraId="780616A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三、就业工作安排</w:t>
      </w:r>
    </w:p>
    <w:p w14:paraId="0D21F2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（一）完成毕业生资格审查工作；做好毕业生各种表格的审核等工作。</w:t>
      </w:r>
    </w:p>
    <w:p w14:paraId="637BD3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二）加强对困难群体毕业生的帮扶力度，实施“一人一档”“一生一策”帮扶计划。对于困难群体的毕业生，辅导员“一对一”进行就业心理辅导工作，为每位困难毕业生配备1名辅导员提供个性化职业指导，由辅导员开展不少于3次谈心谈话，对于有就业意愿的困难群体毕业生要组织参与不少于3次线上线下就业促进活动，辅导员向困难群体毕业生推荐不少于3个有效岗位，并建立台账。确保在8月31日前脱贫家庭、低保家庭高校毕业生就业去向落实率高于学院平均水平，零就业家庭毕业生实行动态清零，有就业意愿和就业能力的残疾毕业生100%落实就业去向。对于已就业的困难毕业生要实行动态跟踪。关注离校未就业毕业生，做好信息衔接与服务接续，联合人社部门开展跟踪帮扶，及时推送岗位信息和就业服务，确保离校未就业毕业生服务不断线。支持和鼓励毕业生报考统招专升本，做好统招专升本报考指导服务。响应国家号召，大力宣传国家及福建省鼓励毕业生到基层就业的优惠政策、措施，鼓励学生到基层就业。</w:t>
      </w:r>
    </w:p>
    <w:p w14:paraId="71D990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三）通过就业指导中心加强信息的收集与发布，努力拓展就业市场。“英华学工”公众号审核并发布用人单位的招聘信息，积极转发就业驿站收集的各项就业政策及各类大型招聘会信息。指导毕业生使用福建就业网毕业生专区，全面推广使用国家大学生就业服务平台，组织就业工作人员、毕业班辅导员和有求职意愿的毕业生及时注册使用平台，确保就业政策、资讯、岗位信息等实现精准有效推送。同时，积极对接福建就业网毕业生专区，组织毕业生使用平台融入AI技术开发的个性化岗位推荐、职业测评、简历优化、模拟面试等智能服务功能，实现“一人一策”精准服务。</w:t>
      </w:r>
    </w:p>
    <w:p w14:paraId="78C4CD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四）认真落实毕业去向登记制度，准确把握就业监测指标内涵，严格审核毕业生就业信息和就业材料，确保就业数据真实准确。严禁任何形式的就业数据造假，严禁以“灵活就业”名义虚报就业数据，严禁强迫毕业生签订就业协议。加强就业监测工作业务培训，提升就业监测工作质量、时效和规范化水平。严格落实就业监测工作“四不准”“三不得”要求，各系开展就业材料自查、互查，每学年不少于2次，严格执行就业监测工作违规处理办法，对违反相关规定的相关人员，依规依纪严肃追责问责，对虚报、瞒报就业数据的部门和个人，一经查实，在全院范围内通报批评。</w:t>
      </w:r>
    </w:p>
    <w:p w14:paraId="438F30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五）组织开展好福州英华职业学院2026年供需见面会，并积极邀请用人单位来校参加毕业生供需见面会。实施“线上+线下”模式，一是举办不少于一场毕业生供需见面会线下招聘活动，二是举办不少于五场网络招聘活动。各系各开展不少于一场小而精、专而优的小型专场招聘会。积极营造平等就业环境，严格落实“三严禁”要求，各类校园招聘活动中不得设置违反国家规定的有关歧视性条款和限制性条件。</w:t>
      </w:r>
    </w:p>
    <w:p w14:paraId="4E7DAB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（六）组织毕业生离校前进行去向登记确认，将毕业生本人确认作为数据核验的主要抓手，全力推动毕业生离校时全部确认本人毕业去向信息，并及时核验处理毕业生反馈的问题。</w:t>
      </w:r>
    </w:p>
    <w:p w14:paraId="7F2D5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七）做好“高校书记校长访企拓岗促就业专项行动”，2026年目标走访200家用人单位，院系同时走访，加大走访力度，提高走访效率。明确量化指标：校领导每人走访企业不少于20家，各系主任每人走访企业不少于30家，专业带头人每人对接企业不少于10家，杜绝形式化走访。书记、院长和校领导班子成员要认真落实“两个100”要求，有针对性拓展就业市场；各系要结合学科专业特点，精准有效访企拓岗，保质保量开拓就业岗位。</w:t>
      </w:r>
    </w:p>
    <w:p w14:paraId="38716C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八）举办福州英华职业学院就业文化节相关活动，引导毕业生树立正确的成才观、职业观、就业观，客观看待个人条件和社会需求，从实际出发选择职业和工作岗位，主动投身艰苦地区、重点领域等国家需要的地方建功立业。同时，通过微信公众号、班会等多种渠道，向毕业生宣传就业创业政策，确保政策知晓率达100%；加强正面引导，讲好毕业生就业创业故事，密切关注学生思想动态，及时化解就业焦虑等情绪，建立舆情监测与应急处置机制，防范就业领域舆情风险与安全隐患。</w:t>
      </w:r>
    </w:p>
    <w:p w14:paraId="31F3C3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（九）根据教育厅、省人社局、财政局要求，做好2026届毕业生求职创业补贴工作和就业补助金工作。对家庭经济困难毕业生发放2000元就业补助金。</w:t>
      </w:r>
    </w:p>
    <w:p w14:paraId="282B10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（十）举办福州英华职业学院大学生创新创业大赛（2026）、大学生职业规划大赛校赛，组织学生参加福建省大学生创新大赛（2026）、第十九届福建省大学生职业规划大赛。</w:t>
      </w:r>
    </w:p>
    <w:p w14:paraId="7BFB8B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（十一）全面推广使用国家大学生就业服务平台，组织就业工作人员、毕业班辅导员和有求职意愿的毕业生及时注册使用平台，确保就业政策、资讯、岗位信息等实现精准有效推送。</w:t>
      </w:r>
    </w:p>
    <w:p w14:paraId="5C4FA30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四、工作要求</w:t>
      </w:r>
    </w:p>
    <w:p w14:paraId="2BA006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（一）高度重视，精心准备。各系要充分认识毕业生就业服务工作的意义，科学合理精心做好各项准备工作。</w:t>
      </w:r>
    </w:p>
    <w:p w14:paraId="406A94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（二）广泛宣传，全员参与。各系要广泛的宣传动员，并积极调动各方资源，营造良好的就业工作氛围；要把就业指导、服务活动与教育教学活动和学生素质培养相结合，学院师生全员参与。</w:t>
      </w:r>
    </w:p>
    <w:p w14:paraId="5E9975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（三）认真落实，注重实效。各系要从就业面临的新形势、出现的新问题的实际出发，制定出适合本系专业特色及学生特点的指导和服务活动项目，全面提升学生就业竞争力。</w:t>
      </w:r>
    </w:p>
    <w:p w14:paraId="08DB95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pict>
          <v:shape id="_x0000_s1026" o:spid="_x0000_s1026" o:spt="75" type="#_x0000_t75" style="position:absolute;left:0pt;margin-left:107.15pt;margin-top:9.4pt;height:65.9pt;width:72.7pt;mso-wrap-distance-bottom:0pt;mso-wrap-distance-left:9pt;mso-wrap-distance-right:9pt;mso-wrap-distance-top:0pt;z-index:251661312;mso-width-relative:page;mso-height-relative:page;" o:ole="t" filled="f" o:preferrelative="t" stroked="f" coordsize="21600,21600">
            <v:fill on="f" focussize="0,0"/>
            <v:stroke on="f"/>
            <v:imagedata r:id="rId8" o:title=""/>
            <o:lock v:ext="edit" aspectratio="t"/>
            <w10:wrap type="square"/>
          </v:shape>
          <o:OLEObject Type="Embed" ProgID="Word.Document.12" ShapeID="_x0000_s1026" DrawAspect="Icon" ObjectID="_1468075725" r:id="rId7">
            <o:LockedField>false</o:LockedField>
          </o:OLEObject>
        </w:pict>
      </w:r>
      <w:r>
        <w:rPr>
          <w:rFonts w:hint="eastAsia" w:ascii="仿宋" w:hAnsi="仿宋" w:eastAsia="仿宋" w:cs="仿宋"/>
          <w:b w:val="0"/>
          <w:bCs w:val="0"/>
          <w:color w:val="auto"/>
          <w:kern w:val="2"/>
          <w:sz w:val="32"/>
          <w:szCs w:val="32"/>
          <w:lang w:val="en-US" w:eastAsia="zh-CN" w:bidi="ar-SA"/>
        </w:rPr>
        <w:t>附件：1.</w:t>
      </w:r>
    </w:p>
    <w:p w14:paraId="1B1612F3">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b w:val="0"/>
          <w:bCs w:val="0"/>
          <w:color w:val="auto"/>
          <w:kern w:val="2"/>
          <w:sz w:val="32"/>
          <w:szCs w:val="32"/>
          <w:lang w:val="en-US" w:eastAsia="zh-CN" w:bidi="ar-SA"/>
        </w:rPr>
      </w:pPr>
    </w:p>
    <w:p w14:paraId="36F96E42">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pict>
          <v:shape id="_x0000_s1027" o:spid="_x0000_s1027" o:spt="75" type="#_x0000_t75" style="position:absolute;left:0pt;margin-left:106.15pt;margin-top:14.1pt;height:65.9pt;width:72.7pt;mso-wrap-distance-bottom:0pt;mso-wrap-distance-left:9pt;mso-wrap-distance-right:9pt;mso-wrap-distance-top:0pt;z-index:251662336;mso-width-relative:page;mso-height-relative:page;" o:ole="t" filled="f" o:preferrelative="t" stroked="f" coordsize="21600,21600">
            <v:fill on="f" focussize="0,0"/>
            <v:stroke on="f"/>
            <v:imagedata r:id="rId10" o:title=""/>
            <o:lock v:ext="edit" aspectratio="t"/>
            <w10:wrap type="square"/>
          </v:shape>
          <o:OLEObject Type="Embed" ProgID="Word.Document.12" ShapeID="_x0000_s1027" DrawAspect="Icon" ObjectID="_1468075726" r:id="rId9">
            <o:LockedField>false</o:LockedField>
          </o:OLEObject>
        </w:pict>
      </w:r>
    </w:p>
    <w:p w14:paraId="6C28F9D8">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w:t>
      </w:r>
    </w:p>
    <w:p w14:paraId="19773CAE">
      <w:pPr>
        <w:jc w:val="right"/>
        <w:rPr>
          <w:color w:val="auto"/>
        </w:rPr>
      </w:pPr>
      <w:bookmarkStart w:id="0" w:name="_GoBack"/>
      <w:bookmarkEnd w:id="0"/>
    </w:p>
    <w:sectPr>
      <w:footerReference r:id="rId5" w:type="default"/>
      <w:pgSz w:w="11906" w:h="16838"/>
      <w:pgMar w:top="1417" w:right="1800" w:bottom="1417"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5B0A64-066A-4122-9486-7F5C0B5570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23A53DC-1326-4961-98FC-9A182F602049}"/>
  </w:font>
  <w:font w:name="方正小标宋简体">
    <w:panose1 w:val="02000000000000000000"/>
    <w:charset w:val="86"/>
    <w:family w:val="script"/>
    <w:pitch w:val="default"/>
    <w:sig w:usb0="00000001" w:usb1="08000000" w:usb2="00000000" w:usb3="00000000" w:csb0="00040000" w:csb1="00000000"/>
    <w:embedRegular r:id="rId3" w:fontKey="{C0A745C9-B070-4148-9CD7-67925CBCFC31}"/>
  </w:font>
  <w:font w:name="仿宋">
    <w:panose1 w:val="02010609060101010101"/>
    <w:charset w:val="86"/>
    <w:family w:val="modern"/>
    <w:pitch w:val="default"/>
    <w:sig w:usb0="800002BF" w:usb1="38CF7CFA" w:usb2="00000016" w:usb3="00000000" w:csb0="00040001" w:csb1="00000000"/>
    <w:embedRegular r:id="rId4" w:fontKey="{7BB231BE-46A4-4FDD-BF13-4CF216651AFA}"/>
  </w:font>
  <w:font w:name="仿宋_GB2312">
    <w:altName w:val="仿宋"/>
    <w:panose1 w:val="02010609030101010101"/>
    <w:charset w:val="86"/>
    <w:family w:val="auto"/>
    <w:pitch w:val="default"/>
    <w:sig w:usb0="00000000" w:usb1="00000000" w:usb2="00000000" w:usb3="00000000" w:csb0="00040000" w:csb1="00000000"/>
    <w:embedRegular r:id="rId5" w:fontKey="{59D351FE-D2DB-432B-B2E4-E81E0BBDEE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F707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29E9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929E9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MWVjMmM4MGQxYmZiZTliMTBjOGU1Y2I2Y2JhMTMifQ=="/>
  </w:docVars>
  <w:rsids>
    <w:rsidRoot w:val="007260A9"/>
    <w:rsid w:val="007260A9"/>
    <w:rsid w:val="00F90F8E"/>
    <w:rsid w:val="02B26E88"/>
    <w:rsid w:val="05E41A4E"/>
    <w:rsid w:val="05F11A75"/>
    <w:rsid w:val="06120629"/>
    <w:rsid w:val="06927FBE"/>
    <w:rsid w:val="12D83402"/>
    <w:rsid w:val="138F358A"/>
    <w:rsid w:val="1F006067"/>
    <w:rsid w:val="22615F2B"/>
    <w:rsid w:val="2AE77DC4"/>
    <w:rsid w:val="2CDD5BE8"/>
    <w:rsid w:val="2EE76130"/>
    <w:rsid w:val="33761AF5"/>
    <w:rsid w:val="37215DAE"/>
    <w:rsid w:val="385C6439"/>
    <w:rsid w:val="3C2022F0"/>
    <w:rsid w:val="4CCD7292"/>
    <w:rsid w:val="504D1979"/>
    <w:rsid w:val="51205F42"/>
    <w:rsid w:val="54D003C6"/>
    <w:rsid w:val="552C174E"/>
    <w:rsid w:val="568F13C5"/>
    <w:rsid w:val="5DE952FF"/>
    <w:rsid w:val="60AB28CE"/>
    <w:rsid w:val="60CF3C4A"/>
    <w:rsid w:val="610E0FFE"/>
    <w:rsid w:val="67F3434E"/>
    <w:rsid w:val="687C03B1"/>
    <w:rsid w:val="6B77103C"/>
    <w:rsid w:val="6BCC0120"/>
    <w:rsid w:val="73D757CD"/>
    <w:rsid w:val="79FF3BA8"/>
    <w:rsid w:val="7E613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Calibri" w:hAnsi="Calibri" w:eastAsia="宋体" w:cs="Times New Roman"/>
      <w:kern w:val="2"/>
      <w:sz w:val="21"/>
      <w:szCs w:val="22"/>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style>
  <w:style w:type="paragraph" w:styleId="3">
    <w:name w:val="Body Text"/>
    <w:basedOn w:val="1"/>
    <w:autoRedefine/>
    <w:unhideWhenUsed/>
    <w:qFormat/>
    <w:uiPriority w:val="99"/>
    <w:pPr>
      <w:spacing w:after="120"/>
    </w:pPr>
  </w:style>
  <w:style w:type="paragraph" w:styleId="4">
    <w:name w:val="Balloon Text"/>
    <w:basedOn w:val="1"/>
    <w:next w:val="1"/>
    <w:autoRedefine/>
    <w:unhideWhenUsed/>
    <w:qFormat/>
    <w:uiPriority w:val="99"/>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autoRedefine/>
    <w:qFormat/>
    <w:uiPriority w:val="0"/>
    <w:pPr>
      <w:snapToGrid w:val="0"/>
      <w:jc w:val="left"/>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2790</Words>
  <Characters>2884</Characters>
  <Lines>0</Lines>
  <Paragraphs>0</Paragraphs>
  <TotalTime>64</TotalTime>
  <ScaleCrop>false</ScaleCrop>
  <LinksUpToDate>false</LinksUpToDate>
  <CharactersWithSpaces>2891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2024-12-11T00:46:00Z</dcterms:created>
  <dc:creator>壹公</dc:creator>
  <cp:lastModifiedBy>壹公</cp:lastModifiedBy>
  <cp:lastPrinted>2024-12-16T03:34:00Z</cp:lastPrinted>
  <dcterms:modified xsi:type="dcterms:W3CDTF">2025-12-17T02:37:14Z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B7F69BB33B4B4838BDE91BCEF72514F1_11</vt:lpwstr>
  </property>
  <property fmtid="{D5CDD505-2E9C-101B-9397-08002B2CF9AE}" pid="4" name="KSOTemplateDocerSaveRecord">
    <vt:lpwstr>eyJoZGlkIjoiMTZlZmZmMDgwZjQ4ZjA2NTM3NmI1NjY3OTdkMGVmNDAiLCJ1c2VySWQiOiI0Mzg3MjM3NzQifQ==</vt:lpwstr>
  </property>
</Properties>
</file>