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-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6"/>
          <w:szCs w:val="36"/>
          <w:lang w:val="en-US" w:eastAsia="zh-CN"/>
        </w:rPr>
        <w:t>福州英华职业学院专任教师学</w:t>
      </w:r>
      <w:r>
        <w:rPr>
          <w:rFonts w:hint="eastAsia" w:ascii="仿宋" w:hAnsi="仿宋" w:eastAsia="仿宋" w:cs="仿宋"/>
          <w:b/>
          <w:bCs/>
          <w:spacing w:val="-2"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pacing w:val="-2"/>
          <w:sz w:val="36"/>
          <w:szCs w:val="36"/>
          <w:lang w:val="en-US" w:eastAsia="zh-CN"/>
        </w:rPr>
        <w:t>量化考核评分表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pacing w:val="-2"/>
          <w:sz w:val="28"/>
          <w:szCs w:val="28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  <w:lang w:val="en-US" w:eastAsia="zh-CN"/>
        </w:rPr>
        <w:t>一、教学项目目标量化考核评分表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62"/>
        <w:gridCol w:w="4712"/>
        <w:gridCol w:w="838"/>
        <w:gridCol w:w="785"/>
        <w:gridCol w:w="865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计分标准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佐证材料编号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学院复评得分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基本分（70分为上限）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教学工作量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1.按规范开展教学，完成学院教学额定工作量，该项为70分；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2.按规范开展教学，未完成学院教学额定工作量，分数=70×完成率。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J-001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附加分（与基本分总和以100分为上限）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网络评教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考核期内各学年任教课程网络评教得分高于（含等于）全院课程评价平均分，加2分/门。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编写课程标准、实验指导书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1.根据教务处通知，新编课程标准、实验指导书，按规范完成并准时缴交者，10分/门；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2.根据教务处通知，修编课程标准、实验指导书，按规范完成并准时缴交者，5分/门。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编写人才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培养方案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1.主持或参与新编考核期内专业人才培养方案，按规范完成并准时缴交者，15分/专业；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2.主持或参与考核期内专业人才培养方案修订，按规范完成并准时缴交者，7分/专业。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网络建课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考核期内各学期任教课程要求在超星等平台至少建设1门在线课程，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  <w:lang w:val="en-US" w:eastAsia="zh-CN"/>
              </w:rPr>
              <w:t>且使用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效果良好。教学资源内容包含课程简介或概述视频（10%）、教学视频（20%）、教学资料（PPT课件、参考资料等20%）、试题库（10%）、随堂测验（10%）、课堂讨论（10%）、单元测验及单元作业（10%），建设知识图谱和能力图谱（10%）。15分/门（资料齐全10分，开展教学3分，建设图谱2分），未全面完成、按各项百分比计分，以30分为上限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说专业、说课公开课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考核期内各学年参与公开课、说专业、说课活动作为主讲教师，系级一次得2分，院级一次得4分。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教学能力比赛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根据比赛规定组成符合要求参赛团队，经学院审批，参加比赛，完成竞赛全过程，给予加分，未按要求参加高一级比赛，加分减半。按参赛团队实际人数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  <w:lang w:val="en-US" w:eastAsia="zh-CN"/>
              </w:rPr>
              <w:t>及贡献度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自行分配得分。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参加教育部举办的国家级比赛一等奖加50分、二等奖40分、三等奖30分、未获奖加26分。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right="0" w:rightChars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2.参加教育厅举办的省级比赛、全国行业职业教育教学指导委员会举办的比赛一等奖加25分、二等奖加20分、三等奖加15分、未获奖加5分；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w w:val="100"/>
                <w:sz w:val="20"/>
                <w:highlight w:val="none"/>
                <w:u w:val="none"/>
              </w:rPr>
              <w:t>3.参加院级比赛一等奖加10分、二等奖加8分、三等奖加6分、未获奖加2分；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eastAsia="仿宋"/>
                <w:color w:val="auto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高校教师资格证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取得高校教师资格证（入职1.5年内）加5分，在校期间仅计算一次。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教学模式改革、教法创新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在课程教学中积极开展教学模式改革、教法创新的探索实施并完成完整教学单元，教学改革取得良好效果，提交案例和实施佐证材料，经教务处审核后得8分/份。被评为院级优秀案例另加8分、市级优秀案例另加10分、省级优秀案例另加15分、国家级优秀案例另加30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校企合作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考核期内新增1个学院人才培养、实训基地建设合作的企业，符合相关要求规定，并开展实质性工作（订单班或吸纳3名及以上学生参加半年实习），按照6分/家计算分数。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开展专业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申报工作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1.完成全套申报材料，新增普通专业、普通五年制项目20分/个；新增国控专业、国控五年制专业项目30分/个；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教师本人参加专业技能竞赛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指派参加教育主管部门举办的专业技能竞赛，国家级一、二、三等奖及未获奖分别得分50、40、30、26分/项；省级分别得分25、20、15、5分/项；市级分别得分10、8、6、2分/项。参加其他部门（协会）主办的竞赛，按同级别对应分值的60%计算。同一项目按最高得分计算，不重复累计。每个赛项的得分由团队内部按实际贡献自行分配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指导学生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参加竞赛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指派参加教育主管部门举办的专业技能竞赛，国家级一、二、三等奖及未获奖分别得分50、40、30、26分/项；省级分别得分25、20、15、5分/项；市级分别得分10、8、6、2分/项。参加其他部门（协会）主办的竞赛，按同级别对应分值的60%计算。同一项目按最高得分计算，不重复累计。每个赛项的得分由团队内部按实际贡献自行分配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校内实训基地（室）建设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校内实训基地（室）建设调研，方案的撰写、建设、验收10分/项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指导学生考取证书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新增1+x证书，人社部门职业资格鉴定、专项能力证书考试资格7分/项；正常开展鉴定活动2分/批次。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根据学院发展建设需要，开展专题调研活动并撰写建设性调研报告10分/项。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企业实践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按照《福州英华职业职业学院教师下企业实践管理办法》中要求，考核期内完成下企业实践且材料完整者5分/人。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学历提升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经学院审批同意，进行高一级的学历提升并获得证书者5分/人。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考取技能证书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经学院审批同意，考核期内获得与教学相关的专业技能证书、职业资格证书等1分/项。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扣分项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教学计划表编制与录入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1.考核期内各学年任教课程迟录入一门扣1分；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2.考核期内各学年任教课程未录入一门扣2分。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F-019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编写课程教案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教师上课需携带教案，教案结构完整，符合教学规范并能够及时更新；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1.巡课检查时发现未携带教案一次扣2分或教案不符合规范的一次扣1分；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2.集中性教学检查时发现未撰写教案一次扣5分，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教案存在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  <w:lang w:val="en-US" w:eastAsia="zh-CN"/>
              </w:rPr>
              <w:t>撰写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  <w:lang w:val="en-US" w:eastAsia="zh-CN"/>
              </w:rPr>
              <w:t>不完整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、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学时与课程标准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要求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不符、教学反思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未撰写或内容单调重复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等情形，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一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次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扣</w:t>
            </w: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2分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F-020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编写教学手册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1.巡课检查时发现未及时、准确填写的一次扣1分；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2.集中性教学检查时发现未及时、准确填写一次扣3分。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教学规范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1.考核期内发生三级教学事故一次扣10分；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2.其它教学事故处理按《福州英华职业学院专任教师考核管理办法》执行。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批改作业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依据课程标准少布置作业一次扣2分，未批改一次扣1分。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网络评教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考核期内各学年任教课程网络评教得分低于平均分（含）10分内扣1分/门；低于平均分（含）15分扣2分/门；低于平均分（含）20分及以上扣3分/门。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指导实习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1.考核期内各学年实习资料迟录入一次扣1分；未录入一次扣5分。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2.考核期内各学年未按工作要求担任并完成毕业生实习指导老师扣10分。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考试成绩录入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考核期内各学年期末考迟录入成绩者每门扣该项成绩2分。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参加教研会议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无故未参加学院组织的活动一次扣2分，系部组织的活动一次扣1分；病假不扣分，事假扣分减半。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数据平台填报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未按学院要求按时完成数据平台填报一次扣3分。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企业实践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职能部门、系部抽查中，发现未按计划进行下企业实践者，按照3分/次扣分。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高校教师系列职称转评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获得非教师系列职称按相应系列专业技术职务聘任相应职级的，两年内未能转评为高校教师系列同级专业技术职务的，扣10分。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F-030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4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6" w:firstLineChars="200"/>
        <w:textAlignment w:val="auto"/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" w:firstLineChars="200"/>
        <w:textAlignment w:val="auto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1"/>
          <w:sz w:val="20"/>
          <w:szCs w:val="20"/>
          <w:lang w:val="en-US" w:eastAsia="zh-CN"/>
        </w:rPr>
        <w:t>备注：关于专职教师教学工作量按照《福州英华职业学院教学工作量计算办法》执行；兼任行政管理人员的专任教师教学工作量、教科研基本工作量按下表计算（同一人兼任不同行政职务者，第二项及以上职务教学工作量按照50%计算减免，教科研基本工作量第二项及以上职务不进行减免）：</w:t>
      </w:r>
    </w:p>
    <w:tbl>
      <w:tblPr>
        <w:tblStyle w:val="3"/>
        <w:tblW w:w="0" w:type="auto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8"/>
        <w:gridCol w:w="4198"/>
        <w:gridCol w:w="2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兼任教学管理工作人员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的职务或工作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工作量减免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工作量减免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教研室主任、专业带头人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减免80学时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教研室副主任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减免60学时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减免20%</w:t>
            </w:r>
          </w:p>
        </w:tc>
      </w:tr>
    </w:tbl>
    <w:p>
      <w:pPr>
        <w:rPr>
          <w:color w:val="auto"/>
          <w:sz w:val="20"/>
          <w:szCs w:val="20"/>
        </w:rPr>
      </w:pPr>
    </w:p>
    <w:p>
      <w:pPr>
        <w:spacing w:before="91" w:line="219" w:lineRule="auto"/>
        <w:jc w:val="both"/>
        <w:rPr>
          <w:rFonts w:hint="eastAsia" w:ascii="仿宋" w:hAnsi="仿宋" w:eastAsia="仿宋" w:cs="仿宋"/>
          <w:b/>
          <w:bCs/>
          <w:color w:val="auto"/>
          <w:spacing w:val="-9"/>
          <w:sz w:val="32"/>
          <w:szCs w:val="32"/>
          <w:lang w:val="en-US" w:eastAsia="zh-CN"/>
        </w:rPr>
      </w:pPr>
    </w:p>
    <w:p>
      <w:pPr>
        <w:spacing w:before="91" w:line="219" w:lineRule="auto"/>
        <w:jc w:val="both"/>
        <w:rPr>
          <w:rFonts w:hint="default" w:ascii="仿宋" w:hAnsi="仿宋" w:eastAsia="仿宋" w:cs="仿宋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sz w:val="28"/>
          <w:szCs w:val="28"/>
          <w:lang w:val="en-US" w:eastAsia="zh-CN"/>
        </w:rPr>
        <w:t>二、专任教师</w:t>
      </w:r>
      <w:r>
        <w:rPr>
          <w:rFonts w:hint="eastAsia" w:ascii="仿宋" w:hAnsi="仿宋" w:eastAsia="仿宋" w:cs="仿宋"/>
          <w:b/>
          <w:bCs/>
          <w:color w:val="auto"/>
          <w:spacing w:val="-9"/>
          <w:sz w:val="28"/>
          <w:szCs w:val="28"/>
          <w:highlight w:val="none"/>
          <w:lang w:val="en-US" w:eastAsia="zh-CN"/>
        </w:rPr>
        <w:t>学年</w:t>
      </w:r>
      <w:r>
        <w:rPr>
          <w:rFonts w:hint="eastAsia" w:ascii="仿宋" w:hAnsi="仿宋" w:eastAsia="仿宋" w:cs="仿宋"/>
          <w:b/>
          <w:bCs/>
          <w:color w:val="auto"/>
          <w:spacing w:val="-9"/>
          <w:sz w:val="28"/>
          <w:szCs w:val="28"/>
          <w:lang w:val="en-US" w:eastAsia="zh-CN"/>
        </w:rPr>
        <w:t>教科研与服务项目目标量化考核评分表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95"/>
        <w:gridCol w:w="1650"/>
        <w:gridCol w:w="3420"/>
        <w:gridCol w:w="891"/>
        <w:gridCol w:w="875"/>
        <w:gridCol w:w="889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计分标准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佐证材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料编号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学院复评得分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教科研定额分（基本项考核分为实际完成的定额*转换系数β，以35分为上限）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项目类别K1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纵向：自然基础类为3；自然应用类为1.5；社科基础类为3；社科应用类为1.5。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横向：为1。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项目类别K2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纵向：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1、国家级：重大为10；重点为8；普通为7；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2、省部级：重大为6； 重点为5；普通为4；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市厅级：重大为3； 重点为2；普通为1。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1.工科：q≥50万元为7；50万元&gt;q≥20万元为6；20万元&gt;q≥10万元为5；10万元&gt;q≥5万元为3；5万元&gt;q≥1万元为2；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2.文科：q≥20万元为7；20万元&gt;q≥10万元为6；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10万元&gt;q≥5万元为5；5万元&gt;q≥1万元为2；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3.知识产权转化：q≥30万元为7；30万元&gt;q≥10万元为6；10万元&gt;q≥5万元为5；5万元&gt;q≥1万元为2。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标准工作量分值：K1*K2*q分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论著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1.Nature、Science、Cell为1000分；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2.SCIE一区为100分；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3.SCIE二区为75分；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4.SCIE三区、SSCI为50分；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5.SCIE四区、EI为40分；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6.核心期刊为8分；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7.本科学报为5分；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8.其他CN期刊为2分；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9.学术会议汇编收录1分。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学术专著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7.5分*著作字数/万字。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学术译著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2分*著作字数/万字。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成果获奖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1.国家级奖励：一等为10000分、二等为6000分、重大贡献为5000分；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2.省部级奖励：一等为4000分、二等为3000分、重大贡献为2000分；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3.市厅级奖励：一等为1000分、二等为500分、重大贡献为300分。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专利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国外专利为100分；发明专利为50分；实用新型专利为10分；外观设计专利、软件登记、集成电路设计为5分。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1.国家标准、行业标准为150分；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2.地方标准、行业标准为50分。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建议采纳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1.国家领导人采纳为75分；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2.省部级领导采纳为30分；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3.市厅级领导采纳为15分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作品参展、收藏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1.国家级为50分；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2.省部级为30分；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3.市厅级为10分；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4.院级为2分。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作品和艺术表演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被媒体专题宣传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1.央媒为40分；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2.省媒为20分；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3.市媒为10分。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科技平台建设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1.新增：国家级为1250分；省部级为500分；市厅级为100分；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2.已有：国家级为250分；省部级为100分；市厅级为20分。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学术讲座/技术报告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学术讲座/技术报告指考核期内开设的面向全院师生或本系师生的学术讲座/技术报告，院级为2分，系级为1分，每项不超过1次。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教科研附加分（本项考核分不进行转换，为完成的对应分值，与基本分总和以50分为上限）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教学改革研究项目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pacing w:val="0"/>
                <w:sz w:val="20"/>
                <w:highlight w:val="none"/>
                <w:u w:val="none"/>
              </w:rPr>
              <w:t>（含科学规划项目）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1.国家级80分；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2.省级50分；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3.市级30分；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4.院级重点项目：20分，院级一般项目：10分。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OLE_LINK1" w:colFirst="1" w:colLast="2"/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学质量工程（专业类：双高专业群、特色专业、产业学院等；课程类：精品课程、课程思政示范课程、资源库等；教师队伍：教学名师/团队等；实践类：产教融合实训基地、技能竞赛优秀指导教师（省一）、创新创业教育基地；就业育人项目等；特色项目：乡村振兴项目、文化传承项目、国际交流项目等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1.国家级200分；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2.省级80分；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3.市级30分；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4.院级重点项目：20分，院级一般项目：10分。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国家级规划教材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主编为10分/万字；副主编为6分/万字；参编为4分/万字。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省部级规划教材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省部级规划教材 主编为6分/万字；副主编为4分/万字；参编为3分/万字。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主编为5分/万字；副主编为3.5分/万字；参编为2.5分/万字。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主编为4分/万字；副主编为3分/万字；参编为2分/万字。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成果奖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特等为1000分；一等为800分；二等为500分。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特等为300分；一等为200分；二等为100分。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特等为80分；一等为40分；二等为20分。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重点项目：60分，个人得分不超过20分，一般项目30分，个人得分不超过10分。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特派员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省级：25分、市级15分、县级10分。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K-025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服务项目分值（以50分为上限）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兼任学院行政职务工作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学院考核合格，兼任副处级管理干部（含系部主任助理）者加35分；兼任教研室主任、专业带头人、教师党支部书记者加16分；兼任教研室副主任者加13分；兼任支部书记者加12分、支部副书记者加10分；担任学院学术委员会、工会委员会、专业建设委员会、工会小组长，且履行职责者按5分/人计算分数（同一人兼任不同职务者第二项及以上按照60%计算分数）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青年教师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培养工作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本学年担任青年教师导师，考核合格，按照6分/每个青年教师计算分数；考核不合格者，按照6分/每个青年教师进行扣分；本项分数上限为18分。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担任社团或协会指导教师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担任校级或经学院审批同意的系级学生社团或协会指导教师，完成相应指导业务，提供活动策划、总结报告等按照6分/个计算分数；获得校级优秀指导教师另加1分，获得市级另加2分，获得省级另加3分；本项分数上限为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担任班主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本学年担任学生班主任工作，考核通过者按照6分/人计算分数；本项分数上限为6分。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担任服务志愿者工作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担任学院安排的招生宣传、访企拓岗、迎新、招聘会、校级运动会、教师节大会、职业技能周、校园文化节等各类综合性、专项性工作的志愿者，工作认真负责的按照0.5分/小时计算分数。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承办院级综合性活动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本学年承办经学院审批同意的各类无报酬全院性综合活动，如校级运动会、教师节大会、职业技能周、校园文化节、职业技能比赛等，按照20分/项计算分数，分数权重由项目负责人统筹。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承办系级综合性活动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本学年承办经学院审批同意的系级综合性活动（不含学工、团委组织的学生活动），按照10分/项计算分数，分数权重由项目负责人统筹。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承办单项活动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本学年承办经学院审批同意的单项活动，如篮球比赛、十佳歌手比赛等，按照5分/项计算分数，分数权重由项目负责人统筹。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执行学院重点工作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本学年承办经学院审批同意的单项活动，如篮球比赛、十佳歌手比赛等，按照5分/项计算分数，分数权重由项目负责人统筹。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学院文明校、文化建设等学院单项性重点工作，根据开展工作的成效按照60分/项计算分数；执行高水平学校申报等学院综合性重点工作，根据开展工作的成效按照200分/项计算分数；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学院建设性方案撰写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撰写学院各类建设性方案，获得学院采用者，按照10分/项计算分数，参与者分数由项目负责人统筹。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担任由学院统一安排的各类专项工作，工作认真负责，组织制定者按照5分/项计算分数。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担任专项报表或数据填报工作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担任学院各类专项报表或数据填报工作，数据报送无误者按照3分/项计算分数。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实验（训）室或专业教室负责教师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担任实验（训）室或专业教室负责人，相关管理资料完整，无安全事故发生者，按照1间12分，2间20分计算分数。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开展培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训讲座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本学年根据学院管理工作需要，经学院审批后，开展各类校内外培训讲座，按照3分/场计算分数。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担任学院两级教学督导工作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经学院聘任为教学督导，工作认真负责、履行职责者，按照院级督导15分/人、系级督导7分/人计算分数。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代表学院参加各类活动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由学院指派代表学院参加的汇演、职教周、学院工会指派的各类活动等，具有提高学院声誉的，按照30分/项计算分数，每人单项目分数不高于10分，分数权重由项目负责人统筹。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参加学术会议、研讨会、培训等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参加校外学术交流会、研讨会、培训会等，提交会议通知、会议报到、培训证书等佐证材料者，时间在一周以内的按照2分/人计算分数，超过一周者按照每超过一周加2分计算，网络培训者按以上标准减半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较长时间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的替岗工作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因突发情况，接受学院、系部安排的较长时间的代替工作者，经学院审批同意，根据工作量情况按照15-30分/人计算分数。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协助行政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服务职务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因职能部门、系部工作需要，可向全院教师进行招募协助行政职务岗位，经学院审批同意者，根据教师协助时数及具体服务工作与成效按照20-35分/人计算分数。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提高学院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声誉工作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为学院取得各项荣誉，被媒体宣传报道，提高学院声誉的各类工作，按照1分/人.次计算分数。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F-020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折合得分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</w:t>
      </w: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00" w:firstLineChars="200"/>
        <w:jc w:val="both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教科研项目的基本项分数为实际完成的定额分值×考核分转换系数β，教科研项目的附加项分数不进行系数转换。不同技术职称专任教师的教科研定额分与转换系数如下表所示：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4357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教科研基本项定额分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考核分转换系数β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正高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副高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初级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17.5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460" w:lineRule="exact"/>
        <w:jc w:val="left"/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460" w:lineRule="exact"/>
        <w:ind w:firstLine="400" w:firstLineChars="200"/>
        <w:jc w:val="left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0"/>
          <w:szCs w:val="2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 w:bidi="ar"/>
        </w:rPr>
        <w:t>各量化考核项目中涉及多人完成的可按下表加权系数计分，也可由项目负责人自行决定加权系数的分配。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22"/>
        <w:gridCol w:w="1252"/>
        <w:gridCol w:w="1267"/>
        <w:gridCol w:w="1363"/>
        <w:gridCol w:w="145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排序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（项目负责人）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排名二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排名三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排名四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排名五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排名加权系数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0.80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0.75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0.70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0.65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0.60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0.05</w:t>
            </w:r>
          </w:p>
        </w:tc>
      </w:tr>
    </w:tbl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E0CD9"/>
    <w:multiLevelType w:val="singleLevel"/>
    <w:tmpl w:val="B79E0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WMzN2Y5NDhmMTY4ZWFiODZiOWRmNmU0MzRmYjkifQ=="/>
  </w:docVars>
  <w:rsids>
    <w:rsidRoot w:val="00000000"/>
    <w:rsid w:val="005929DD"/>
    <w:rsid w:val="00EB27BD"/>
    <w:rsid w:val="05312216"/>
    <w:rsid w:val="05AD1B88"/>
    <w:rsid w:val="084A0C9F"/>
    <w:rsid w:val="08741A55"/>
    <w:rsid w:val="092517BB"/>
    <w:rsid w:val="09412D13"/>
    <w:rsid w:val="0B9C2483"/>
    <w:rsid w:val="0C924F32"/>
    <w:rsid w:val="0D55130A"/>
    <w:rsid w:val="0FE0656F"/>
    <w:rsid w:val="112F4397"/>
    <w:rsid w:val="113373E5"/>
    <w:rsid w:val="138E0FAA"/>
    <w:rsid w:val="15172B9D"/>
    <w:rsid w:val="163B0AEA"/>
    <w:rsid w:val="17321EED"/>
    <w:rsid w:val="19DF45AE"/>
    <w:rsid w:val="1B210BF7"/>
    <w:rsid w:val="1B847250"/>
    <w:rsid w:val="1C0F461E"/>
    <w:rsid w:val="1E261687"/>
    <w:rsid w:val="1E803E86"/>
    <w:rsid w:val="1E95181A"/>
    <w:rsid w:val="21364710"/>
    <w:rsid w:val="22DE0B37"/>
    <w:rsid w:val="25302162"/>
    <w:rsid w:val="270C4509"/>
    <w:rsid w:val="2B482FC3"/>
    <w:rsid w:val="2B6E537F"/>
    <w:rsid w:val="2BB004CA"/>
    <w:rsid w:val="2CD92B11"/>
    <w:rsid w:val="2CE64684"/>
    <w:rsid w:val="2E4A3524"/>
    <w:rsid w:val="32CC68C7"/>
    <w:rsid w:val="345B087E"/>
    <w:rsid w:val="370575C1"/>
    <w:rsid w:val="39E0415B"/>
    <w:rsid w:val="3DEC0798"/>
    <w:rsid w:val="3EA13331"/>
    <w:rsid w:val="3F073ADC"/>
    <w:rsid w:val="3FDD2C52"/>
    <w:rsid w:val="40295CD4"/>
    <w:rsid w:val="40C00BE0"/>
    <w:rsid w:val="42415594"/>
    <w:rsid w:val="435E3EE6"/>
    <w:rsid w:val="46CE6FD6"/>
    <w:rsid w:val="47804DFB"/>
    <w:rsid w:val="490948F4"/>
    <w:rsid w:val="49DF11B1"/>
    <w:rsid w:val="4B06733D"/>
    <w:rsid w:val="4C0A0767"/>
    <w:rsid w:val="4C190418"/>
    <w:rsid w:val="4CF338F1"/>
    <w:rsid w:val="4D680D7E"/>
    <w:rsid w:val="4DE66FB2"/>
    <w:rsid w:val="4E5C3CA4"/>
    <w:rsid w:val="4F614098"/>
    <w:rsid w:val="516F0F36"/>
    <w:rsid w:val="51C70692"/>
    <w:rsid w:val="532F5DC7"/>
    <w:rsid w:val="534E1882"/>
    <w:rsid w:val="54C63A71"/>
    <w:rsid w:val="5617120D"/>
    <w:rsid w:val="569C6DA8"/>
    <w:rsid w:val="576E160F"/>
    <w:rsid w:val="58507E4A"/>
    <w:rsid w:val="58871582"/>
    <w:rsid w:val="599F0BEE"/>
    <w:rsid w:val="5CE71306"/>
    <w:rsid w:val="5EB56C59"/>
    <w:rsid w:val="61052311"/>
    <w:rsid w:val="617A1A94"/>
    <w:rsid w:val="64036B06"/>
    <w:rsid w:val="64191A38"/>
    <w:rsid w:val="65515F6B"/>
    <w:rsid w:val="67E61441"/>
    <w:rsid w:val="6B9C02FA"/>
    <w:rsid w:val="6C9E10B5"/>
    <w:rsid w:val="6D882FFD"/>
    <w:rsid w:val="6FEC71CE"/>
    <w:rsid w:val="6FFE5F86"/>
    <w:rsid w:val="70EE1B56"/>
    <w:rsid w:val="725E2D0C"/>
    <w:rsid w:val="726C00B0"/>
    <w:rsid w:val="73050897"/>
    <w:rsid w:val="73F92CEC"/>
    <w:rsid w:val="75633C28"/>
    <w:rsid w:val="78746868"/>
    <w:rsid w:val="793E5053"/>
    <w:rsid w:val="7C2F5630"/>
    <w:rsid w:val="7CDD138C"/>
    <w:rsid w:val="7FAA0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5981</Words>
  <Characters>6710</Characters>
  <TotalTime>15</TotalTime>
  <ScaleCrop>false</ScaleCrop>
  <LinksUpToDate>false</LinksUpToDate>
  <CharactersWithSpaces>6714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2025-09-26T13:58:00Z</dcterms:created>
  <dc:creator>Administrator</dc:creator>
  <cp:lastModifiedBy>刘彬</cp:lastModifiedBy>
  <dcterms:modified xsi:type="dcterms:W3CDTF">2025-11-05T01:09:16Z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eyJoZGlkIjoiOTIzOTQ4YThjYmRhZDE1ZTYyMTI4ZDlkNjYwOTNhMzEiLCJ1c2VySWQiOiI0OTk2MzgzNTkifQ==</vt:lpwstr>
  </property>
  <property fmtid="{D5CDD505-2E9C-101B-9397-08002B2CF9AE}" pid="3" name="KSOProductBuildVer">
    <vt:lpwstr>2052-11.1.0.12165</vt:lpwstr>
  </property>
  <property fmtid="{D5CDD505-2E9C-101B-9397-08002B2CF9AE}" pid="4" name="ICV">
    <vt:lpwstr>E2419100609C4EE588929B7D94721E28_12</vt:lpwstr>
  </property>
</Properties>
</file>