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18E51">
      <w:pPr>
        <w:widowControl/>
        <w:spacing w:line="600" w:lineRule="exact"/>
        <w:jc w:val="both"/>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eastAsia="zh-CN"/>
        </w:rPr>
        <w:t>附件</w:t>
      </w:r>
      <w:r>
        <w:rPr>
          <w:rFonts w:hint="eastAsia" w:ascii="黑体" w:hAnsi="黑体" w:eastAsia="黑体" w:cs="黑体"/>
          <w:color w:val="auto"/>
          <w:sz w:val="30"/>
          <w:szCs w:val="30"/>
          <w:lang w:val="en-US" w:eastAsia="zh-CN"/>
        </w:rPr>
        <w:t>3：</w:t>
      </w:r>
    </w:p>
    <w:p w14:paraId="493B979A">
      <w:pPr>
        <w:widowControl/>
        <w:spacing w:line="600" w:lineRule="exact"/>
        <w:jc w:val="center"/>
        <w:rPr>
          <w:rFonts w:hint="eastAsia" w:ascii="方正小标宋简体" w:hAnsi="宋体" w:eastAsia="方正小标宋简体" w:cs="Times New Roman"/>
          <w:color w:val="auto"/>
          <w:sz w:val="36"/>
          <w:szCs w:val="36"/>
        </w:rPr>
      </w:pPr>
      <w:r>
        <w:rPr>
          <w:rFonts w:hint="eastAsia" w:ascii="方正小标宋简体" w:hAnsi="宋体" w:eastAsia="方正小标宋简体"/>
          <w:color w:val="auto"/>
          <w:sz w:val="36"/>
          <w:szCs w:val="36"/>
          <w:lang w:eastAsia="zh-CN"/>
        </w:rPr>
        <w:t>福建省</w:t>
      </w:r>
      <w:r>
        <w:rPr>
          <w:rFonts w:hint="eastAsia" w:ascii="方正小标宋简体" w:hAnsi="宋体" w:eastAsia="方正小标宋简体"/>
          <w:color w:val="auto"/>
          <w:sz w:val="36"/>
          <w:szCs w:val="36"/>
        </w:rPr>
        <w:t>职业教育在线精</w:t>
      </w:r>
      <w:r>
        <w:rPr>
          <w:rFonts w:hint="eastAsia" w:ascii="方正小标宋简体" w:hAnsi="宋体" w:eastAsia="方正小标宋简体" w:cs="Times New Roman"/>
          <w:color w:val="auto"/>
          <w:sz w:val="36"/>
          <w:szCs w:val="36"/>
        </w:rPr>
        <w:t>品课程认定指标</w:t>
      </w:r>
    </w:p>
    <w:p w14:paraId="2385D4A7">
      <w:pPr>
        <w:spacing w:line="520" w:lineRule="exact"/>
        <w:ind w:right="26"/>
        <w:jc w:val="center"/>
        <w:rPr>
          <w:rFonts w:eastAsia="黑体"/>
          <w:color w:val="auto"/>
          <w:kern w:val="0"/>
          <w:sz w:val="28"/>
          <w:szCs w:val="28"/>
        </w:rPr>
      </w:pPr>
    </w:p>
    <w:p w14:paraId="6F8EB395">
      <w:pPr>
        <w:spacing w:line="520" w:lineRule="exact"/>
        <w:ind w:right="26"/>
        <w:jc w:val="center"/>
        <w:rPr>
          <w:rFonts w:eastAsia="黑体"/>
          <w:kern w:val="0"/>
          <w:sz w:val="28"/>
          <w:szCs w:val="28"/>
        </w:rPr>
      </w:pPr>
      <w:r>
        <w:rPr>
          <w:rFonts w:eastAsia="黑体"/>
          <w:kern w:val="0"/>
          <w:sz w:val="28"/>
          <w:szCs w:val="28"/>
        </w:rPr>
        <w:t>（一）否定性指标</w:t>
      </w:r>
    </w:p>
    <w:tbl>
      <w:tblPr>
        <w:tblStyle w:val="8"/>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423"/>
        <w:gridCol w:w="3893"/>
      </w:tblGrid>
      <w:tr w14:paraId="13AE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23" w:type="dxa"/>
            <w:noWrap w:val="0"/>
            <w:vAlign w:val="center"/>
          </w:tcPr>
          <w:p w14:paraId="4907D29B">
            <w:pPr>
              <w:widowControl/>
              <w:jc w:val="center"/>
              <w:rPr>
                <w:rFonts w:eastAsia="黑体"/>
                <w:kern w:val="0"/>
                <w:sz w:val="24"/>
                <w:szCs w:val="24"/>
              </w:rPr>
            </w:pPr>
            <w:r>
              <w:rPr>
                <w:rFonts w:eastAsia="黑体"/>
                <w:kern w:val="0"/>
                <w:sz w:val="24"/>
                <w:szCs w:val="24"/>
              </w:rPr>
              <w:t>维度</w:t>
            </w:r>
          </w:p>
        </w:tc>
        <w:tc>
          <w:tcPr>
            <w:tcW w:w="3423" w:type="dxa"/>
            <w:noWrap w:val="0"/>
            <w:vAlign w:val="center"/>
          </w:tcPr>
          <w:p w14:paraId="2B945DEE">
            <w:pPr>
              <w:widowControl/>
              <w:jc w:val="center"/>
              <w:rPr>
                <w:rFonts w:eastAsia="黑体"/>
                <w:kern w:val="0"/>
                <w:sz w:val="24"/>
                <w:szCs w:val="24"/>
              </w:rPr>
            </w:pPr>
            <w:r>
              <w:rPr>
                <w:rFonts w:eastAsia="黑体"/>
                <w:kern w:val="0"/>
                <w:sz w:val="24"/>
                <w:szCs w:val="24"/>
              </w:rPr>
              <w:t>具体指标</w:t>
            </w:r>
          </w:p>
        </w:tc>
        <w:tc>
          <w:tcPr>
            <w:tcW w:w="3893" w:type="dxa"/>
            <w:noWrap w:val="0"/>
            <w:vAlign w:val="center"/>
          </w:tcPr>
          <w:p w14:paraId="5D17C411">
            <w:pPr>
              <w:widowControl/>
              <w:jc w:val="center"/>
              <w:rPr>
                <w:rFonts w:eastAsia="黑体"/>
                <w:kern w:val="0"/>
                <w:sz w:val="24"/>
                <w:szCs w:val="24"/>
              </w:rPr>
            </w:pPr>
            <w:r>
              <w:rPr>
                <w:rFonts w:eastAsia="黑体"/>
                <w:kern w:val="0"/>
                <w:sz w:val="24"/>
                <w:szCs w:val="24"/>
              </w:rPr>
              <w:t>观测点及方式</w:t>
            </w:r>
          </w:p>
        </w:tc>
      </w:tr>
      <w:tr w14:paraId="136A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noWrap w:val="0"/>
            <w:vAlign w:val="center"/>
          </w:tcPr>
          <w:p w14:paraId="7DA9D9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课程资格</w:t>
            </w:r>
          </w:p>
        </w:tc>
        <w:tc>
          <w:tcPr>
            <w:tcW w:w="3423" w:type="dxa"/>
            <w:noWrap w:val="0"/>
            <w:vAlign w:val="center"/>
          </w:tcPr>
          <w:p w14:paraId="57908FE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课程与推荐申报类型不符</w:t>
            </w:r>
          </w:p>
        </w:tc>
        <w:tc>
          <w:tcPr>
            <w:tcW w:w="3893" w:type="dxa"/>
            <w:noWrap w:val="0"/>
            <w:vAlign w:val="center"/>
          </w:tcPr>
          <w:p w14:paraId="0AF48A4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查看教务系统截图，核实是否是专业人才培养方案的在线课程</w:t>
            </w:r>
          </w:p>
        </w:tc>
      </w:tr>
      <w:tr w14:paraId="4D35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14:paraId="2DE1193A">
            <w:pPr>
              <w:widowControl/>
              <w:jc w:val="center"/>
              <w:rPr>
                <w:rFonts w:hint="eastAsia" w:ascii="仿宋_GB2312" w:hAnsi="仿宋_GB2312" w:eastAsia="仿宋_GB2312" w:cs="仿宋_GB2312"/>
                <w:kern w:val="0"/>
                <w:sz w:val="24"/>
                <w:szCs w:val="24"/>
              </w:rPr>
            </w:pPr>
          </w:p>
        </w:tc>
        <w:tc>
          <w:tcPr>
            <w:tcW w:w="3423" w:type="dxa"/>
            <w:noWrap w:val="0"/>
            <w:vAlign w:val="center"/>
          </w:tcPr>
          <w:p w14:paraId="51BE571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开设时间或期数不符合申报要求</w:t>
            </w:r>
          </w:p>
        </w:tc>
        <w:tc>
          <w:tcPr>
            <w:tcW w:w="3893" w:type="dxa"/>
            <w:noWrap w:val="0"/>
            <w:vAlign w:val="center"/>
          </w:tcPr>
          <w:p w14:paraId="36183D8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查看课程平台运行情况，核实申报截止日期前是否完成至少两（学）期教学实践</w:t>
            </w:r>
          </w:p>
        </w:tc>
      </w:tr>
      <w:tr w14:paraId="6E53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14:paraId="116FEFD0">
            <w:pPr>
              <w:widowControl/>
              <w:jc w:val="center"/>
              <w:rPr>
                <w:rFonts w:hint="eastAsia" w:ascii="仿宋_GB2312" w:hAnsi="仿宋_GB2312" w:eastAsia="仿宋_GB2312" w:cs="仿宋_GB2312"/>
                <w:kern w:val="0"/>
                <w:sz w:val="24"/>
                <w:szCs w:val="24"/>
              </w:rPr>
            </w:pPr>
          </w:p>
        </w:tc>
        <w:tc>
          <w:tcPr>
            <w:tcW w:w="3423" w:type="dxa"/>
            <w:noWrap w:val="0"/>
            <w:vAlign w:val="center"/>
          </w:tcPr>
          <w:p w14:paraId="33D09BA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教材选用不合规</w:t>
            </w:r>
          </w:p>
        </w:tc>
        <w:tc>
          <w:tcPr>
            <w:tcW w:w="3893" w:type="dxa"/>
            <w:noWrap w:val="0"/>
            <w:vAlign w:val="center"/>
          </w:tcPr>
          <w:p w14:paraId="00DA9B5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查看提交的材料，核实选用教材是否符合《职业院校教材管理办法》等有关要求</w:t>
            </w:r>
          </w:p>
        </w:tc>
      </w:tr>
      <w:tr w14:paraId="4E33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14:paraId="1D6D0873">
            <w:pPr>
              <w:widowControl/>
              <w:jc w:val="center"/>
              <w:rPr>
                <w:rFonts w:hint="eastAsia" w:ascii="仿宋_GB2312" w:hAnsi="仿宋_GB2312" w:eastAsia="仿宋_GB2312" w:cs="仿宋_GB2312"/>
                <w:kern w:val="0"/>
                <w:sz w:val="24"/>
                <w:szCs w:val="24"/>
              </w:rPr>
            </w:pPr>
          </w:p>
        </w:tc>
        <w:tc>
          <w:tcPr>
            <w:tcW w:w="3423" w:type="dxa"/>
            <w:noWrap w:val="0"/>
            <w:vAlign w:val="center"/>
          </w:tcPr>
          <w:p w14:paraId="02E88ED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课程基本信息明显不一致</w:t>
            </w:r>
          </w:p>
        </w:tc>
        <w:tc>
          <w:tcPr>
            <w:tcW w:w="3893" w:type="dxa"/>
            <w:noWrap w:val="0"/>
            <w:vAlign w:val="center"/>
          </w:tcPr>
          <w:p w14:paraId="2E1E7C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查看教务系统截图，重点比对课程名称、授课教师、学时等有关说明材料</w:t>
            </w:r>
          </w:p>
        </w:tc>
      </w:tr>
      <w:tr w14:paraId="5412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14:paraId="049F9D40">
            <w:pPr>
              <w:widowControl/>
              <w:jc w:val="center"/>
              <w:rPr>
                <w:rFonts w:hint="eastAsia" w:ascii="仿宋_GB2312" w:hAnsi="仿宋_GB2312" w:eastAsia="仿宋_GB2312" w:cs="仿宋_GB2312"/>
                <w:kern w:val="0"/>
                <w:sz w:val="24"/>
                <w:szCs w:val="24"/>
              </w:rPr>
            </w:pPr>
          </w:p>
        </w:tc>
        <w:tc>
          <w:tcPr>
            <w:tcW w:w="3423" w:type="dxa"/>
            <w:noWrap w:val="0"/>
            <w:vAlign w:val="center"/>
          </w:tcPr>
          <w:p w14:paraId="7050206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课程线上教学资源无法打开</w:t>
            </w:r>
          </w:p>
        </w:tc>
        <w:tc>
          <w:tcPr>
            <w:tcW w:w="3893" w:type="dxa"/>
            <w:noWrap w:val="0"/>
            <w:vAlign w:val="center"/>
          </w:tcPr>
          <w:p w14:paraId="6E68134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查看“提供的课程访问网址”</w:t>
            </w:r>
          </w:p>
        </w:tc>
      </w:tr>
      <w:tr w14:paraId="359B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14:paraId="76CA3E12">
            <w:pPr>
              <w:widowControl/>
              <w:jc w:val="center"/>
              <w:rPr>
                <w:rFonts w:hint="eastAsia" w:ascii="仿宋_GB2312" w:hAnsi="仿宋_GB2312" w:eastAsia="仿宋_GB2312" w:cs="仿宋_GB2312"/>
                <w:kern w:val="0"/>
                <w:sz w:val="24"/>
                <w:szCs w:val="24"/>
              </w:rPr>
            </w:pPr>
          </w:p>
        </w:tc>
        <w:tc>
          <w:tcPr>
            <w:tcW w:w="3423" w:type="dxa"/>
            <w:noWrap w:val="0"/>
            <w:vAlign w:val="center"/>
          </w:tcPr>
          <w:p w14:paraId="31C1E4B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课程内容存在政治性、思想性问题，以及科学性问题</w:t>
            </w:r>
          </w:p>
        </w:tc>
        <w:tc>
          <w:tcPr>
            <w:tcW w:w="3893" w:type="dxa"/>
            <w:noWrap w:val="0"/>
            <w:vAlign w:val="center"/>
          </w:tcPr>
          <w:p w14:paraId="7985EB4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查看提交的资料，核实是否存在重要意识形态问题或科学性问题</w:t>
            </w:r>
          </w:p>
        </w:tc>
      </w:tr>
      <w:tr w14:paraId="4EC1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3" w:type="dxa"/>
            <w:noWrap w:val="0"/>
            <w:vAlign w:val="center"/>
          </w:tcPr>
          <w:p w14:paraId="786258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教师资格</w:t>
            </w:r>
          </w:p>
        </w:tc>
        <w:tc>
          <w:tcPr>
            <w:tcW w:w="3423" w:type="dxa"/>
            <w:noWrap w:val="0"/>
            <w:vAlign w:val="center"/>
          </w:tcPr>
          <w:p w14:paraId="03E692B0">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团队成员存在师德师风方面问题</w:t>
            </w:r>
          </w:p>
        </w:tc>
        <w:tc>
          <w:tcPr>
            <w:tcW w:w="3893" w:type="dxa"/>
            <w:noWrap w:val="0"/>
            <w:vAlign w:val="center"/>
          </w:tcPr>
          <w:p w14:paraId="0CAA295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查看“团队成员政治审查意见”，以及提交的资料，或者举报属实</w:t>
            </w:r>
          </w:p>
        </w:tc>
      </w:tr>
      <w:tr w14:paraId="5B46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noWrap w:val="0"/>
            <w:vAlign w:val="center"/>
          </w:tcPr>
          <w:p w14:paraId="7FE970A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申报材料</w:t>
            </w:r>
          </w:p>
        </w:tc>
        <w:tc>
          <w:tcPr>
            <w:tcW w:w="3423" w:type="dxa"/>
            <w:noWrap w:val="0"/>
            <w:vAlign w:val="center"/>
          </w:tcPr>
          <w:p w14:paraId="30F533D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申报材料造假</w:t>
            </w:r>
          </w:p>
        </w:tc>
        <w:tc>
          <w:tcPr>
            <w:tcW w:w="3893" w:type="dxa"/>
            <w:noWrap w:val="0"/>
            <w:vAlign w:val="center"/>
          </w:tcPr>
          <w:p w14:paraId="6410608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查看提交的材料，或举报属实</w:t>
            </w:r>
          </w:p>
        </w:tc>
      </w:tr>
      <w:tr w14:paraId="18EB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14:paraId="48AC0728">
            <w:pPr>
              <w:widowControl/>
              <w:jc w:val="center"/>
              <w:rPr>
                <w:rFonts w:hint="eastAsia" w:ascii="仿宋_GB2312" w:hAnsi="仿宋_GB2312" w:eastAsia="仿宋_GB2312" w:cs="仿宋_GB2312"/>
                <w:kern w:val="0"/>
                <w:sz w:val="24"/>
                <w:szCs w:val="24"/>
              </w:rPr>
            </w:pPr>
          </w:p>
        </w:tc>
        <w:tc>
          <w:tcPr>
            <w:tcW w:w="3423" w:type="dxa"/>
            <w:noWrap w:val="0"/>
            <w:vAlign w:val="center"/>
          </w:tcPr>
          <w:p w14:paraId="5EA7405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发现且确认有侵权现象</w:t>
            </w:r>
          </w:p>
        </w:tc>
        <w:tc>
          <w:tcPr>
            <w:tcW w:w="3893" w:type="dxa"/>
            <w:noWrap w:val="0"/>
            <w:vAlign w:val="center"/>
          </w:tcPr>
          <w:p w14:paraId="59447CED">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查看提交的材料，或举报属实</w:t>
            </w:r>
          </w:p>
        </w:tc>
      </w:tr>
      <w:tr w14:paraId="3167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noWrap w:val="0"/>
            <w:vAlign w:val="center"/>
          </w:tcPr>
          <w:p w14:paraId="66AF6D8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平台资格</w:t>
            </w:r>
          </w:p>
        </w:tc>
        <w:tc>
          <w:tcPr>
            <w:tcW w:w="3423" w:type="dxa"/>
            <w:noWrap w:val="0"/>
            <w:vAlign w:val="top"/>
          </w:tcPr>
          <w:p w14:paraId="0A0177E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无工信部ICP网站备案、无公安机关网站备案号、无信息安全等级保护证书</w:t>
            </w:r>
          </w:p>
        </w:tc>
        <w:tc>
          <w:tcPr>
            <w:tcW w:w="3893" w:type="dxa"/>
            <w:noWrap w:val="0"/>
            <w:vAlign w:val="top"/>
          </w:tcPr>
          <w:p w14:paraId="7C923D2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查看提交的材料，或举报属实</w:t>
            </w:r>
          </w:p>
        </w:tc>
      </w:tr>
    </w:tbl>
    <w:p w14:paraId="5CFE0137">
      <w:pPr>
        <w:spacing w:line="520" w:lineRule="exact"/>
        <w:ind w:right="26"/>
        <w:jc w:val="center"/>
        <w:rPr>
          <w:rFonts w:eastAsia="黑体"/>
          <w:kern w:val="0"/>
          <w:sz w:val="28"/>
          <w:szCs w:val="28"/>
        </w:rPr>
      </w:pPr>
    </w:p>
    <w:p w14:paraId="0D372694">
      <w:pPr>
        <w:spacing w:line="520" w:lineRule="exact"/>
        <w:ind w:right="26"/>
        <w:jc w:val="center"/>
        <w:rPr>
          <w:rFonts w:eastAsia="黑体"/>
          <w:kern w:val="0"/>
          <w:sz w:val="28"/>
          <w:szCs w:val="28"/>
        </w:rPr>
      </w:pPr>
    </w:p>
    <w:p w14:paraId="2F764B31">
      <w:pPr>
        <w:rPr>
          <w:rFonts w:eastAsia="黑体"/>
          <w:kern w:val="0"/>
          <w:sz w:val="28"/>
          <w:szCs w:val="28"/>
        </w:rPr>
      </w:pPr>
      <w:bookmarkStart w:id="0" w:name="_GoBack"/>
      <w:bookmarkEnd w:id="0"/>
    </w:p>
    <w:p w14:paraId="1B2B11D9">
      <w:pPr>
        <w:spacing w:line="520" w:lineRule="exact"/>
        <w:ind w:right="26"/>
        <w:jc w:val="center"/>
        <w:rPr>
          <w:rFonts w:eastAsia="黑体"/>
          <w:kern w:val="0"/>
          <w:sz w:val="28"/>
          <w:szCs w:val="28"/>
        </w:rPr>
      </w:pPr>
      <w:r>
        <w:rPr>
          <w:rFonts w:eastAsia="黑体"/>
          <w:kern w:val="0"/>
          <w:sz w:val="28"/>
          <w:szCs w:val="28"/>
        </w:rPr>
        <w:t>（二）评议性指标</w:t>
      </w:r>
    </w:p>
    <w:tbl>
      <w:tblPr>
        <w:tblStyle w:val="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10"/>
        <w:gridCol w:w="6030"/>
      </w:tblGrid>
      <w:tr w14:paraId="786C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280" w:type="dxa"/>
            <w:noWrap w:val="0"/>
            <w:vAlign w:val="center"/>
          </w:tcPr>
          <w:p w14:paraId="6B2EDF65">
            <w:pPr>
              <w:widowControl/>
              <w:jc w:val="center"/>
              <w:rPr>
                <w:rFonts w:eastAsia="黑体"/>
                <w:kern w:val="0"/>
                <w:sz w:val="24"/>
                <w:szCs w:val="24"/>
              </w:rPr>
            </w:pPr>
            <w:r>
              <w:rPr>
                <w:rFonts w:eastAsia="黑体"/>
                <w:kern w:val="0"/>
                <w:sz w:val="24"/>
                <w:szCs w:val="24"/>
              </w:rPr>
              <w:t>一级指标</w:t>
            </w:r>
          </w:p>
        </w:tc>
        <w:tc>
          <w:tcPr>
            <w:tcW w:w="1210" w:type="dxa"/>
            <w:noWrap w:val="0"/>
            <w:vAlign w:val="center"/>
          </w:tcPr>
          <w:p w14:paraId="05925E00">
            <w:pPr>
              <w:widowControl/>
              <w:jc w:val="center"/>
              <w:rPr>
                <w:rFonts w:eastAsia="黑体"/>
                <w:kern w:val="0"/>
                <w:sz w:val="24"/>
                <w:szCs w:val="24"/>
              </w:rPr>
            </w:pPr>
            <w:r>
              <w:rPr>
                <w:rFonts w:eastAsia="黑体"/>
                <w:kern w:val="0"/>
                <w:sz w:val="24"/>
                <w:szCs w:val="24"/>
              </w:rPr>
              <w:t>二级指标</w:t>
            </w:r>
          </w:p>
        </w:tc>
        <w:tc>
          <w:tcPr>
            <w:tcW w:w="6030" w:type="dxa"/>
            <w:noWrap w:val="0"/>
            <w:vAlign w:val="center"/>
          </w:tcPr>
          <w:p w14:paraId="56A7AA16">
            <w:pPr>
              <w:widowControl/>
              <w:jc w:val="center"/>
              <w:rPr>
                <w:rFonts w:eastAsia="黑体"/>
                <w:kern w:val="0"/>
                <w:sz w:val="24"/>
                <w:szCs w:val="24"/>
              </w:rPr>
            </w:pPr>
            <w:r>
              <w:rPr>
                <w:rFonts w:eastAsia="黑体"/>
                <w:kern w:val="0"/>
                <w:sz w:val="24"/>
                <w:szCs w:val="24"/>
              </w:rPr>
              <w:t>观测点及要求</w:t>
            </w:r>
          </w:p>
        </w:tc>
      </w:tr>
      <w:tr w14:paraId="2A25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14:paraId="11D80C0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课程设计</w:t>
            </w:r>
          </w:p>
        </w:tc>
        <w:tc>
          <w:tcPr>
            <w:tcW w:w="1210" w:type="dxa"/>
            <w:noWrap w:val="0"/>
            <w:vAlign w:val="center"/>
          </w:tcPr>
          <w:p w14:paraId="3C436ED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课程定位与目标</w:t>
            </w:r>
          </w:p>
        </w:tc>
        <w:tc>
          <w:tcPr>
            <w:tcW w:w="6030" w:type="dxa"/>
            <w:noWrap w:val="0"/>
            <w:vAlign w:val="center"/>
          </w:tcPr>
          <w:p w14:paraId="63B8A6F6">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1.落实立德树人根本任务，符合相应专业教学标准、人才培养方案、课程标准要求，课程性质明确，与前、后接续课程衔接得当。</w:t>
            </w:r>
          </w:p>
          <w:p w14:paraId="5BFCD62F">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2.课程目标定位准确、条目清晰、内容具体、可评可测。</w:t>
            </w:r>
          </w:p>
          <w:p w14:paraId="5F15309A">
            <w:pPr>
              <w:pStyle w:val="11"/>
              <w:widowControl/>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3.公共基础课程注重打好科学文化基础、培养学生思想政治素质、学科核心素养；专业（技能）课程注重提升专业能力、掌握专业技能，培养学生职业道德、综合素养</w:t>
            </w:r>
            <w:r>
              <w:rPr>
                <w:rFonts w:hint="eastAsia" w:ascii="仿宋_GB2312" w:hAnsi="仿宋_GB2312" w:eastAsia="仿宋_GB2312" w:cs="仿宋_GB2312"/>
                <w:kern w:val="0"/>
                <w:sz w:val="24"/>
                <w:szCs w:val="24"/>
                <w:lang w:val="en-US" w:eastAsia="zh-CN"/>
              </w:rPr>
              <w:t>。</w:t>
            </w:r>
          </w:p>
        </w:tc>
      </w:tr>
      <w:tr w14:paraId="5DA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14:paraId="3212F1D0">
            <w:pPr>
              <w:widowControl/>
              <w:jc w:val="center"/>
              <w:rPr>
                <w:rFonts w:hint="eastAsia" w:ascii="仿宋_GB2312" w:hAnsi="仿宋_GB2312" w:eastAsia="仿宋_GB2312" w:cs="仿宋_GB2312"/>
                <w:kern w:val="0"/>
                <w:sz w:val="24"/>
                <w:szCs w:val="24"/>
              </w:rPr>
            </w:pPr>
          </w:p>
        </w:tc>
        <w:tc>
          <w:tcPr>
            <w:tcW w:w="1210" w:type="dxa"/>
            <w:noWrap w:val="0"/>
            <w:vAlign w:val="center"/>
          </w:tcPr>
          <w:p w14:paraId="6088894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课程结构与内容</w:t>
            </w:r>
          </w:p>
        </w:tc>
        <w:tc>
          <w:tcPr>
            <w:tcW w:w="6030" w:type="dxa"/>
            <w:noWrap w:val="0"/>
            <w:vAlign w:val="center"/>
          </w:tcPr>
          <w:p w14:paraId="55D31E28">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内容组织与安排凸显职业教育类型特征，公共基础课程内容及时反映新知识，专业（技能）课程对接新产业、新业态、新模式、新职业，反映相关领域新技术、新工艺、新规范，体现行业企业参与特征，紧贴本专业相关技术领域职业岗位（群）的能力要求。</w:t>
            </w:r>
          </w:p>
          <w:p w14:paraId="4F82D5B1">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2.落实课程思政要求，结合不同课程特点、思维方法和价值理念，挖掘课程思政元素，有机融入课程。</w:t>
            </w:r>
          </w:p>
          <w:p w14:paraId="5C5377D6">
            <w:pPr>
              <w:pStyle w:val="11"/>
              <w:widowControl/>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3.课程内容完整、结构合理、逻辑清晰；学习单元划分合理、衔接有序、教学学时分配合理；有符合学生学习特点的完整的在线学习指导。申报课程不低于32学时</w:t>
            </w:r>
            <w:r>
              <w:rPr>
                <w:rFonts w:hint="eastAsia" w:ascii="仿宋_GB2312" w:hAnsi="仿宋_GB2312" w:eastAsia="仿宋_GB2312" w:cs="仿宋_GB2312"/>
                <w:kern w:val="0"/>
                <w:sz w:val="24"/>
                <w:szCs w:val="24"/>
                <w:lang w:eastAsia="zh-CN"/>
              </w:rPr>
              <w:t>。</w:t>
            </w:r>
          </w:p>
        </w:tc>
      </w:tr>
      <w:tr w14:paraId="0440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14:paraId="0A64ACAA">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课程建设</w:t>
            </w:r>
          </w:p>
        </w:tc>
        <w:tc>
          <w:tcPr>
            <w:tcW w:w="1210" w:type="dxa"/>
            <w:noWrap w:val="0"/>
            <w:vAlign w:val="center"/>
          </w:tcPr>
          <w:p w14:paraId="0EC6B80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基本信息与规范</w:t>
            </w:r>
          </w:p>
        </w:tc>
        <w:tc>
          <w:tcPr>
            <w:tcW w:w="6030" w:type="dxa"/>
            <w:noWrap w:val="0"/>
            <w:vAlign w:val="center"/>
          </w:tcPr>
          <w:p w14:paraId="4D86B205">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1.课程基本信息完整，课程页面应包括配套教材、课程介绍、教学团队、相关教材、相关职业类证书等信息。</w:t>
            </w:r>
          </w:p>
          <w:p w14:paraId="122D1166">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2.课程页面布局合理、信息量适度、色彩搭配协调。</w:t>
            </w:r>
          </w:p>
          <w:p w14:paraId="334AB1E5">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3.导航清晰明确，符号规范</w:t>
            </w:r>
            <w:r>
              <w:rPr>
                <w:rFonts w:hint="eastAsia" w:ascii="仿宋_GB2312" w:hAnsi="仿宋_GB2312" w:eastAsia="仿宋_GB2312" w:cs="仿宋_GB2312"/>
                <w:kern w:val="0"/>
                <w:sz w:val="24"/>
                <w:szCs w:val="24"/>
                <w:lang w:eastAsia="zh-CN"/>
              </w:rPr>
              <w:t>。</w:t>
            </w:r>
          </w:p>
        </w:tc>
      </w:tr>
      <w:tr w14:paraId="3401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14:paraId="03257DE8">
            <w:pPr>
              <w:widowControl/>
              <w:jc w:val="center"/>
              <w:rPr>
                <w:rFonts w:hint="eastAsia" w:ascii="仿宋_GB2312" w:hAnsi="仿宋_GB2312" w:eastAsia="仿宋_GB2312" w:cs="仿宋_GB2312"/>
                <w:kern w:val="0"/>
                <w:sz w:val="24"/>
                <w:szCs w:val="24"/>
              </w:rPr>
            </w:pPr>
          </w:p>
        </w:tc>
        <w:tc>
          <w:tcPr>
            <w:tcW w:w="1210" w:type="dxa"/>
            <w:noWrap w:val="0"/>
            <w:vAlign w:val="center"/>
          </w:tcPr>
          <w:p w14:paraId="56BADD56">
            <w:pPr>
              <w:widowControl/>
              <w:jc w:val="center"/>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kern w:val="0"/>
                <w:sz w:val="24"/>
                <w:szCs w:val="24"/>
              </w:rPr>
              <w:t>资源建设与应用</w:t>
            </w:r>
          </w:p>
        </w:tc>
        <w:tc>
          <w:tcPr>
            <w:tcW w:w="6030" w:type="dxa"/>
            <w:noWrap w:val="0"/>
            <w:vAlign w:val="center"/>
          </w:tcPr>
          <w:p w14:paraId="778DEB1A">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资源以自主设计与开发为主，与课程内容相匹配、全覆盖，内在逻辑合理、内容完整精炼，能够满足学校教学和学习者学习需求，做到能学辅教；体现课程思政建设要求，体现行业发展的前沿技术和最新成果。</w:t>
            </w:r>
          </w:p>
          <w:p w14:paraId="19712814">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资源类型丰富、内容多样，针对各模块知识点或技能点设置对应的授课视频、动画、虚拟仿真、演示文稿、测验和作业等多样的教学资源。出镜教师教学过程中教仪教态自然大方，语言表达清晰、深入浅出。</w:t>
            </w:r>
          </w:p>
          <w:p w14:paraId="60DE8D44">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3.科学规划在线学习资源，动画、视频、虚拟仿真等类型资源一般不少于</w:t>
            </w:r>
            <w:r>
              <w:rPr>
                <w:rFonts w:hint="eastAsia" w:ascii="仿宋_GB2312" w:hAnsi="仿宋_GB2312" w:eastAsia="仿宋_GB2312" w:cs="仿宋_GB2312"/>
                <w:kern w:val="0"/>
                <w:sz w:val="24"/>
                <w:szCs w:val="24"/>
                <w:lang w:val="en-US" w:eastAsia="zh-CN"/>
              </w:rPr>
              <w:t>25</w:t>
            </w:r>
            <w:r>
              <w:rPr>
                <w:rFonts w:hint="eastAsia" w:ascii="仿宋_GB2312" w:hAnsi="仿宋_GB2312" w:eastAsia="仿宋_GB2312" w:cs="仿宋_GB2312"/>
                <w:kern w:val="0"/>
                <w:sz w:val="24"/>
                <w:szCs w:val="24"/>
              </w:rPr>
              <w:t>%。课程资源每年必须进行更新，年更新资源量不低于总量的10%</w:t>
            </w:r>
            <w:r>
              <w:rPr>
                <w:rFonts w:hint="eastAsia" w:ascii="仿宋_GB2312" w:hAnsi="仿宋_GB2312" w:eastAsia="仿宋_GB2312" w:cs="仿宋_GB2312"/>
                <w:kern w:val="0"/>
                <w:sz w:val="24"/>
                <w:szCs w:val="24"/>
                <w:lang w:eastAsia="zh-CN"/>
              </w:rPr>
              <w:t>。</w:t>
            </w:r>
          </w:p>
        </w:tc>
      </w:tr>
      <w:tr w14:paraId="1792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80" w:type="dxa"/>
            <w:vMerge w:val="continue"/>
            <w:noWrap w:val="0"/>
            <w:vAlign w:val="center"/>
          </w:tcPr>
          <w:p w14:paraId="352BDA96">
            <w:pPr>
              <w:widowControl/>
              <w:jc w:val="center"/>
              <w:rPr>
                <w:rFonts w:hint="eastAsia" w:ascii="仿宋_GB2312" w:hAnsi="仿宋_GB2312" w:eastAsia="仿宋_GB2312" w:cs="仿宋_GB2312"/>
                <w:kern w:val="0"/>
                <w:sz w:val="24"/>
                <w:szCs w:val="24"/>
              </w:rPr>
            </w:pPr>
          </w:p>
        </w:tc>
        <w:tc>
          <w:tcPr>
            <w:tcW w:w="1210" w:type="dxa"/>
            <w:noWrap w:val="0"/>
            <w:vAlign w:val="center"/>
          </w:tcPr>
          <w:p w14:paraId="4E7A000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成员构成与要求</w:t>
            </w:r>
          </w:p>
        </w:tc>
        <w:tc>
          <w:tcPr>
            <w:tcW w:w="6030" w:type="dxa"/>
            <w:noWrap w:val="0"/>
            <w:vAlign w:val="center"/>
          </w:tcPr>
          <w:p w14:paraId="1ACA0B2B">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1.课程负责人原则上应具有</w:t>
            </w:r>
            <w:r>
              <w:rPr>
                <w:rFonts w:hint="eastAsia" w:ascii="仿宋_GB2312" w:hAnsi="仿宋_GB2312" w:eastAsia="仿宋_GB2312" w:cs="仿宋_GB2312"/>
                <w:kern w:val="0"/>
                <w:sz w:val="24"/>
                <w:szCs w:val="24"/>
                <w:lang w:val="en-US" w:eastAsia="zh-CN"/>
              </w:rPr>
              <w:t>中</w:t>
            </w:r>
            <w:r>
              <w:rPr>
                <w:rFonts w:hint="eastAsia" w:ascii="仿宋_GB2312" w:hAnsi="仿宋_GB2312" w:eastAsia="仿宋_GB2312" w:cs="仿宋_GB2312"/>
                <w:kern w:val="0"/>
                <w:sz w:val="24"/>
                <w:szCs w:val="24"/>
              </w:rPr>
              <w:t>级及以上职称，具有丰富的教学经验和扎实专业功底，在本专业领域具有一定影响力。</w:t>
            </w:r>
          </w:p>
          <w:p w14:paraId="49C51754">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2.团队结构合理，助学、督学、导学、促学等教学支持服务人员到位，师德师风优良，教学表现力和亲和力强，教学成果积累丰富，教学改革意识强。信息素养高，信息技术应用能力水平较高。</w:t>
            </w:r>
          </w:p>
          <w:p w14:paraId="054E725F">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3.专业（技能）课“双师”型教师及企业兼职教师各具特色，团队主要成员须与课程平台显示人员一致，配备必要的助理教师</w:t>
            </w:r>
            <w:r>
              <w:rPr>
                <w:rFonts w:hint="eastAsia" w:ascii="仿宋_GB2312" w:hAnsi="仿宋_GB2312" w:eastAsia="仿宋_GB2312" w:cs="仿宋_GB2312"/>
                <w:kern w:val="0"/>
                <w:sz w:val="24"/>
                <w:szCs w:val="24"/>
                <w:lang w:eastAsia="zh-CN"/>
              </w:rPr>
              <w:t>。</w:t>
            </w:r>
          </w:p>
        </w:tc>
      </w:tr>
      <w:tr w14:paraId="634E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14:paraId="0100DB22">
            <w:pPr>
              <w:widowControl/>
              <w:jc w:val="center"/>
              <w:rPr>
                <w:rFonts w:hint="eastAsia" w:ascii="仿宋_GB2312" w:hAnsi="仿宋_GB2312" w:eastAsia="仿宋_GB2312" w:cs="仿宋_GB2312"/>
                <w:kern w:val="0"/>
                <w:sz w:val="24"/>
                <w:szCs w:val="24"/>
              </w:rPr>
            </w:pPr>
          </w:p>
        </w:tc>
        <w:tc>
          <w:tcPr>
            <w:tcW w:w="1210" w:type="dxa"/>
            <w:noWrap w:val="0"/>
            <w:vAlign w:val="center"/>
          </w:tcPr>
          <w:p w14:paraId="7EF150B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课程管理与保障</w:t>
            </w:r>
          </w:p>
        </w:tc>
        <w:tc>
          <w:tcPr>
            <w:tcW w:w="6030" w:type="dxa"/>
            <w:noWrap w:val="0"/>
            <w:vAlign w:val="center"/>
          </w:tcPr>
          <w:p w14:paraId="0A031920">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1.依托的在线教学平台已接入国家高等教育、职业教育智慧教育平台，有较好的支持面向校内外师生开展线上学分课程教学及管理功能。</w:t>
            </w:r>
          </w:p>
          <w:p w14:paraId="24B29A7B">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学校在线课程管理制度和机构健全，已出台在线课程教学管理办法，对课程选用、教学、评价、督导和学分认定等进行规范，做到线上与线下课程教学同管理、同要求，有支持在线课程建设和实施的激励制度，提供人员、经费等保障。</w:t>
            </w:r>
          </w:p>
          <w:p w14:paraId="720E5D2B">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3.重视版权和知识产权等问题，与院校、企业、团队合作签署的知识产权保障协议（或书面约定）规范严谨、平等互利。</w:t>
            </w:r>
          </w:p>
          <w:p w14:paraId="3ECC211D">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4.教材选用合理，符合有关规定。引用资源规范，符合教学需求</w:t>
            </w:r>
            <w:r>
              <w:rPr>
                <w:rFonts w:hint="eastAsia" w:ascii="仿宋_GB2312" w:hAnsi="仿宋_GB2312" w:eastAsia="仿宋_GB2312" w:cs="仿宋_GB2312"/>
                <w:kern w:val="0"/>
                <w:sz w:val="24"/>
                <w:szCs w:val="24"/>
                <w:lang w:eastAsia="zh-CN"/>
              </w:rPr>
              <w:t>。</w:t>
            </w:r>
          </w:p>
        </w:tc>
      </w:tr>
      <w:tr w14:paraId="5780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14:paraId="58191139">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课程实施</w:t>
            </w:r>
          </w:p>
        </w:tc>
        <w:tc>
          <w:tcPr>
            <w:tcW w:w="1210" w:type="dxa"/>
            <w:noWrap w:val="0"/>
            <w:vAlign w:val="center"/>
          </w:tcPr>
          <w:p w14:paraId="7B09ECE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教学组织与安排</w:t>
            </w:r>
          </w:p>
        </w:tc>
        <w:tc>
          <w:tcPr>
            <w:tcW w:w="6030" w:type="dxa"/>
            <w:noWrap w:val="0"/>
            <w:vAlign w:val="top"/>
          </w:tcPr>
          <w:p w14:paraId="0F826465">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1.围绕学习任务，细化具体教学目标，合理把握教学进度、组织具体教学。</w:t>
            </w:r>
          </w:p>
          <w:p w14:paraId="5681CDE4">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2.科学设计教学模式，恰当进行课程导入，课程重点难点讲授准确全面，合理使用案例式、混合式、探究式、翻转课堂等多种教学模式。</w:t>
            </w:r>
          </w:p>
          <w:p w14:paraId="51925C43">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3.线上线下教学中注重教学互动、激发学生学习积极性</w:t>
            </w:r>
            <w:r>
              <w:rPr>
                <w:rFonts w:hint="eastAsia" w:ascii="仿宋_GB2312" w:hAnsi="仿宋_GB2312" w:eastAsia="仿宋_GB2312" w:cs="仿宋_GB2312"/>
                <w:kern w:val="0"/>
                <w:sz w:val="24"/>
                <w:szCs w:val="24"/>
                <w:lang w:eastAsia="zh-CN"/>
              </w:rPr>
              <w:t>。</w:t>
            </w:r>
          </w:p>
        </w:tc>
      </w:tr>
      <w:tr w14:paraId="78DE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14:paraId="42B759EF">
            <w:pPr>
              <w:jc w:val="center"/>
              <w:rPr>
                <w:rFonts w:hint="eastAsia" w:ascii="仿宋_GB2312" w:hAnsi="仿宋_GB2312" w:eastAsia="仿宋_GB2312" w:cs="仿宋_GB2312"/>
                <w:kern w:val="0"/>
                <w:sz w:val="24"/>
                <w:szCs w:val="24"/>
              </w:rPr>
            </w:pPr>
          </w:p>
        </w:tc>
        <w:tc>
          <w:tcPr>
            <w:tcW w:w="1210" w:type="dxa"/>
            <w:noWrap w:val="0"/>
            <w:vAlign w:val="center"/>
          </w:tcPr>
          <w:p w14:paraId="364C77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教学活动与过程</w:t>
            </w:r>
          </w:p>
        </w:tc>
        <w:tc>
          <w:tcPr>
            <w:tcW w:w="6030" w:type="dxa"/>
            <w:noWrap w:val="0"/>
            <w:vAlign w:val="top"/>
          </w:tcPr>
          <w:p w14:paraId="5635297D">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1.各项教学活动完整、有效，教学过程可回溯，关注教与学全过程的信息采集，教学过程材料完整。</w:t>
            </w:r>
          </w:p>
          <w:p w14:paraId="698D22D8">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2.合理使用信息技术手段创新教学模式，适合在线学习、线上线下混合式教学，能够激发学生学习兴趣和潜能。</w:t>
            </w:r>
          </w:p>
          <w:p w14:paraId="4911DC1D">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3.提供在线测试、即时在线反馈、作业提交和批改、网上社区讨论等学习支持服务，促进师生之间、学生之间进行资源共享、问题交流和协作学习，实现师生、生生的深度有效互动</w:t>
            </w:r>
            <w:r>
              <w:rPr>
                <w:rFonts w:hint="eastAsia" w:ascii="仿宋_GB2312" w:hAnsi="仿宋_GB2312" w:eastAsia="仿宋_GB2312" w:cs="仿宋_GB2312"/>
                <w:kern w:val="0"/>
                <w:sz w:val="24"/>
                <w:szCs w:val="24"/>
                <w:lang w:eastAsia="zh-CN"/>
              </w:rPr>
              <w:t>。</w:t>
            </w:r>
          </w:p>
        </w:tc>
      </w:tr>
      <w:tr w14:paraId="733F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14:paraId="29240447">
            <w:pPr>
              <w:jc w:val="center"/>
              <w:rPr>
                <w:rFonts w:hint="eastAsia" w:ascii="仿宋_GB2312" w:hAnsi="仿宋_GB2312" w:eastAsia="仿宋_GB2312" w:cs="仿宋_GB2312"/>
                <w:kern w:val="0"/>
                <w:sz w:val="24"/>
                <w:szCs w:val="24"/>
              </w:rPr>
            </w:pPr>
          </w:p>
        </w:tc>
        <w:tc>
          <w:tcPr>
            <w:tcW w:w="1210" w:type="dxa"/>
            <w:noWrap w:val="0"/>
            <w:vAlign w:val="center"/>
          </w:tcPr>
          <w:p w14:paraId="7496AC5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学习考核与评价</w:t>
            </w:r>
          </w:p>
        </w:tc>
        <w:tc>
          <w:tcPr>
            <w:tcW w:w="6030" w:type="dxa"/>
            <w:noWrap w:val="0"/>
            <w:vAlign w:val="top"/>
          </w:tcPr>
          <w:p w14:paraId="4C745E19">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1.建立多元化学习评价体系，不断改进结果评价，强化过程评价，探索增值评价，健全综合评价。</w:t>
            </w:r>
          </w:p>
          <w:p w14:paraId="27D9E549">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2.学分课程的选课学生基本上都能按照教学计划完成各项在线学习和线下学习活动，在线学习数据真实有效，可回朔；课程在线测试、考试成绩科学合理。</w:t>
            </w:r>
          </w:p>
          <w:p w14:paraId="6F7493F7">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3.探索基于大数据的信息采集分析，全程记录和跟踪教师的教学和学生学习过程，形成教与学的正向反馈。</w:t>
            </w:r>
          </w:p>
          <w:p w14:paraId="61887CC7">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4.平台至少完成两个教学周期的在线教学实践或两个学期的线上线下混合教学实践。课程建设过程中，不断完善课程考核评价机制，有效反思课程建设的经验与不足，教学诊断改进积极有效</w:t>
            </w:r>
            <w:r>
              <w:rPr>
                <w:rFonts w:hint="eastAsia" w:ascii="仿宋_GB2312" w:hAnsi="仿宋_GB2312" w:eastAsia="仿宋_GB2312" w:cs="仿宋_GB2312"/>
                <w:kern w:val="0"/>
                <w:sz w:val="24"/>
                <w:szCs w:val="24"/>
                <w:lang w:eastAsia="zh-CN"/>
              </w:rPr>
              <w:t>。</w:t>
            </w:r>
          </w:p>
        </w:tc>
      </w:tr>
      <w:tr w14:paraId="413D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14:paraId="04822B9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应用效果</w:t>
            </w:r>
          </w:p>
        </w:tc>
        <w:tc>
          <w:tcPr>
            <w:tcW w:w="1210" w:type="dxa"/>
            <w:noWrap w:val="0"/>
            <w:vAlign w:val="center"/>
          </w:tcPr>
          <w:p w14:paraId="3609541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教学效果与反馈</w:t>
            </w:r>
          </w:p>
        </w:tc>
        <w:tc>
          <w:tcPr>
            <w:tcW w:w="6030" w:type="dxa"/>
            <w:noWrap w:val="0"/>
            <w:vAlign w:val="center"/>
          </w:tcPr>
          <w:p w14:paraId="2C66C2D3">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1.学生适应在线学习方式，可以有效开展个性化学习与合作学习，对课程的参与度、学习获得感高，学习效果好。</w:t>
            </w:r>
          </w:p>
          <w:p w14:paraId="7B1A58BC">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2.教师具有较强的信息化教学能力，助学、督学、导学、促学等教学支持服务到位、有特色，教学团队配合默契，带动其他教育教学改革取得实质性成果。</w:t>
            </w:r>
          </w:p>
          <w:p w14:paraId="78D9F022">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3.学生对教师教学以及课程的满意度较高</w:t>
            </w:r>
            <w:r>
              <w:rPr>
                <w:rFonts w:hint="eastAsia" w:ascii="仿宋_GB2312" w:hAnsi="仿宋_GB2312" w:eastAsia="仿宋_GB2312" w:cs="仿宋_GB2312"/>
                <w:kern w:val="0"/>
                <w:sz w:val="24"/>
                <w:szCs w:val="24"/>
                <w:lang w:eastAsia="zh-CN"/>
              </w:rPr>
              <w:t>。</w:t>
            </w:r>
          </w:p>
        </w:tc>
      </w:tr>
      <w:tr w14:paraId="5BFD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14:paraId="588A22D8">
            <w:pPr>
              <w:widowControl/>
              <w:jc w:val="center"/>
              <w:rPr>
                <w:rFonts w:hint="eastAsia" w:ascii="仿宋_GB2312" w:hAnsi="仿宋_GB2312" w:eastAsia="仿宋_GB2312" w:cs="仿宋_GB2312"/>
                <w:kern w:val="0"/>
                <w:sz w:val="24"/>
                <w:szCs w:val="24"/>
              </w:rPr>
            </w:pPr>
          </w:p>
        </w:tc>
        <w:tc>
          <w:tcPr>
            <w:tcW w:w="1210" w:type="dxa"/>
            <w:noWrap w:val="0"/>
            <w:vAlign w:val="center"/>
          </w:tcPr>
          <w:p w14:paraId="75A8FE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技术支持与服务</w:t>
            </w:r>
          </w:p>
        </w:tc>
        <w:tc>
          <w:tcPr>
            <w:tcW w:w="6030" w:type="dxa"/>
            <w:noWrap w:val="0"/>
            <w:vAlign w:val="center"/>
          </w:tcPr>
          <w:p w14:paraId="37C4EB2F">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1.各类教学资源应用充分，活跃用户数占课程注册使用人数的比例较高。</w:t>
            </w:r>
          </w:p>
          <w:p w14:paraId="6B6328B1">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2.在线课程教学管理责任有效落实，有较好的技术支持的督学、促学手段，有效防范在线刷课、替课、刷考、替考行为。</w:t>
            </w:r>
          </w:p>
          <w:p w14:paraId="41462A29">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3.课程平台支持校内外用户开放注册、选课、学习，能够保障信息安全，同时满足提供开放用户身份数据，开放课程访问数据、学习行为数据以及相关运行数据等监管要求</w:t>
            </w:r>
            <w:r>
              <w:rPr>
                <w:rFonts w:hint="eastAsia" w:ascii="仿宋_GB2312" w:hAnsi="仿宋_GB2312" w:eastAsia="仿宋_GB2312" w:cs="仿宋_GB2312"/>
                <w:kern w:val="0"/>
                <w:sz w:val="24"/>
                <w:szCs w:val="24"/>
                <w:lang w:eastAsia="zh-CN"/>
              </w:rPr>
              <w:t>。</w:t>
            </w:r>
          </w:p>
        </w:tc>
      </w:tr>
      <w:tr w14:paraId="5F3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0" w:type="dxa"/>
            <w:vMerge w:val="continue"/>
            <w:noWrap w:val="0"/>
            <w:vAlign w:val="center"/>
          </w:tcPr>
          <w:p w14:paraId="56229333">
            <w:pPr>
              <w:widowControl/>
              <w:jc w:val="center"/>
              <w:rPr>
                <w:rFonts w:hint="eastAsia" w:ascii="仿宋_GB2312" w:hAnsi="仿宋_GB2312" w:eastAsia="仿宋_GB2312" w:cs="仿宋_GB2312"/>
                <w:kern w:val="0"/>
                <w:sz w:val="24"/>
                <w:szCs w:val="24"/>
              </w:rPr>
            </w:pPr>
          </w:p>
        </w:tc>
        <w:tc>
          <w:tcPr>
            <w:tcW w:w="1210" w:type="dxa"/>
            <w:noWrap w:val="0"/>
            <w:vAlign w:val="center"/>
          </w:tcPr>
          <w:p w14:paraId="1BF93621">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课程示范与引领</w:t>
            </w:r>
          </w:p>
        </w:tc>
        <w:tc>
          <w:tcPr>
            <w:tcW w:w="6030" w:type="dxa"/>
            <w:noWrap w:val="0"/>
            <w:vAlign w:val="top"/>
          </w:tcPr>
          <w:p w14:paraId="27BEB065">
            <w:pPr>
              <w:pStyle w:val="11"/>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1.在教学和课程改革方面与同类课程相比显示了明显优势，已形成具有一定校内外影响力的教改模式，教改成果具有推广价值。</w:t>
            </w:r>
          </w:p>
          <w:p w14:paraId="1D378D0B">
            <w:pPr>
              <w:pStyle w:val="11"/>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2.面向其他院校学生、企业员工和社会学习者开放学习，可供其他院校教师教学引用，用户使用活跃度高，应用效果良好、社会影响力大，认可度高</w:t>
            </w:r>
            <w:r>
              <w:rPr>
                <w:rFonts w:hint="eastAsia" w:ascii="仿宋_GB2312" w:hAnsi="仿宋_GB2312" w:eastAsia="仿宋_GB2312" w:cs="仿宋_GB2312"/>
                <w:kern w:val="0"/>
                <w:sz w:val="24"/>
                <w:szCs w:val="24"/>
                <w:lang w:eastAsia="zh-CN"/>
              </w:rPr>
              <w:t>。</w:t>
            </w:r>
          </w:p>
        </w:tc>
      </w:tr>
      <w:tr w14:paraId="2FC6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0" w:type="dxa"/>
            <w:noWrap w:val="0"/>
            <w:vAlign w:val="center"/>
          </w:tcPr>
          <w:p w14:paraId="12DF06B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特色创新</w:t>
            </w:r>
          </w:p>
        </w:tc>
        <w:tc>
          <w:tcPr>
            <w:tcW w:w="7240" w:type="dxa"/>
            <w:gridSpan w:val="2"/>
            <w:noWrap w:val="0"/>
            <w:vAlign w:val="center"/>
          </w:tcPr>
          <w:p w14:paraId="5C17B88F">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充分彰显职业教育类型特征，体现专业升级和数字化改造要求，能够较好解决职业教育传统教学中的短板问</w:t>
            </w:r>
            <w:r>
              <w:rPr>
                <w:rFonts w:hint="eastAsia" w:ascii="仿宋_GB2312" w:hAnsi="仿宋_GB2312" w:eastAsia="仿宋_GB2312" w:cs="仿宋_GB2312"/>
                <w:color w:val="auto"/>
                <w:kern w:val="0"/>
                <w:sz w:val="24"/>
                <w:szCs w:val="24"/>
              </w:rPr>
              <w:t>题；</w:t>
            </w:r>
            <w:r>
              <w:rPr>
                <w:rFonts w:hint="eastAsia" w:ascii="仿宋_GB2312" w:hAnsi="仿宋_GB2312" w:eastAsia="仿宋_GB2312" w:cs="仿宋_GB2312"/>
                <w:kern w:val="0"/>
                <w:sz w:val="24"/>
                <w:szCs w:val="24"/>
              </w:rPr>
              <w:t>课程与教学改革理念具有原创性、教学实践效果显著，</w:t>
            </w:r>
            <w:r>
              <w:rPr>
                <w:rFonts w:hint="eastAsia" w:ascii="仿宋_GB2312" w:hAnsi="仿宋_GB2312" w:eastAsia="仿宋_GB2312" w:cs="仿宋_GB2312"/>
                <w:color w:val="auto"/>
                <w:kern w:val="0"/>
                <w:sz w:val="24"/>
                <w:szCs w:val="24"/>
              </w:rPr>
              <w:t>具有较好的教改模式示范效应和推广价值。</w:t>
            </w:r>
            <w:r>
              <w:rPr>
                <w:rFonts w:hint="eastAsia" w:ascii="仿宋_GB2312" w:hAnsi="仿宋_GB2312" w:eastAsia="仿宋_GB2312" w:cs="仿宋_GB2312"/>
                <w:kern w:val="0"/>
                <w:sz w:val="24"/>
                <w:szCs w:val="24"/>
              </w:rPr>
              <w:t>能够提供双语教学资源、进行双语教学等</w:t>
            </w:r>
            <w:r>
              <w:rPr>
                <w:rFonts w:hint="eastAsia" w:ascii="仿宋_GB2312" w:hAnsi="仿宋_GB2312" w:eastAsia="仿宋_GB2312" w:cs="仿宋_GB2312"/>
                <w:kern w:val="0"/>
                <w:sz w:val="24"/>
                <w:szCs w:val="24"/>
                <w:lang w:eastAsia="zh-CN"/>
              </w:rPr>
              <w:t>。</w:t>
            </w:r>
          </w:p>
        </w:tc>
      </w:tr>
    </w:tbl>
    <w:p w14:paraId="2155034A">
      <w:pPr>
        <w:pStyle w:val="4"/>
        <w:rPr>
          <w:rFonts w:hint="eastAsia"/>
        </w:rPr>
      </w:pPr>
    </w:p>
    <w:p w14:paraId="34DA39E9">
      <w:pPr>
        <w:pStyle w:val="3"/>
        <w:ind w:left="0" w:leftChars="0" w:firstLine="0" w:firstLineChars="0"/>
        <w:rPr>
          <w:rFonts w:hint="eastAsia"/>
        </w:rPr>
      </w:pPr>
    </w:p>
    <w:p w14:paraId="6CFF49C6">
      <w:pPr>
        <w:rPr>
          <w:rFonts w:hint="eastAsia"/>
          <w:lang w:val="en-US" w:eastAsia="zh-CN"/>
        </w:rPr>
      </w:pPr>
    </w:p>
    <w:sectPr>
      <w:footerReference r:id="rId3" w:type="default"/>
      <w:pgSz w:w="11906" w:h="16838"/>
      <w:pgMar w:top="1440" w:right="1803" w:bottom="1440" w:left="1803" w:header="851"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D157D7-3572-4FE4-820D-24AFC5CC6D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1E4BEEE-9B58-4D9A-A16A-69E75B1BDDB8}"/>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519C149-277B-430D-8DCE-BA985CDDAEB8}"/>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82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44985">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44985">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03E6E"/>
    <w:rsid w:val="00117EA6"/>
    <w:rsid w:val="087C2FA1"/>
    <w:rsid w:val="0A80786B"/>
    <w:rsid w:val="0B0E3A09"/>
    <w:rsid w:val="11B971EC"/>
    <w:rsid w:val="125D2CE5"/>
    <w:rsid w:val="149D59A3"/>
    <w:rsid w:val="1658501E"/>
    <w:rsid w:val="16F5372C"/>
    <w:rsid w:val="25A90276"/>
    <w:rsid w:val="2AD90BA6"/>
    <w:rsid w:val="2EC07BAA"/>
    <w:rsid w:val="320C2DBD"/>
    <w:rsid w:val="326F0540"/>
    <w:rsid w:val="332B0FF5"/>
    <w:rsid w:val="385508BC"/>
    <w:rsid w:val="3E8E1705"/>
    <w:rsid w:val="45F61CD5"/>
    <w:rsid w:val="463F6EFD"/>
    <w:rsid w:val="50125E3D"/>
    <w:rsid w:val="544A01F0"/>
    <w:rsid w:val="555A337D"/>
    <w:rsid w:val="5C35053A"/>
    <w:rsid w:val="5CFD5D4D"/>
    <w:rsid w:val="5E7A79CF"/>
    <w:rsid w:val="606817EA"/>
    <w:rsid w:val="65C7247C"/>
    <w:rsid w:val="6828189F"/>
    <w:rsid w:val="68764809"/>
    <w:rsid w:val="6DC03E6E"/>
    <w:rsid w:val="6E0F71FC"/>
    <w:rsid w:val="6E496B96"/>
    <w:rsid w:val="71042436"/>
    <w:rsid w:val="730164F1"/>
    <w:rsid w:val="78F24E81"/>
    <w:rsid w:val="7BB16B98"/>
    <w:rsid w:val="7E6E5712"/>
    <w:rsid w:val="7F1A54C1"/>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108"/>
      <w:jc w:val="left"/>
    </w:pPr>
    <w:rPr>
      <w:rFonts w:ascii="宋体" w:hAnsi="宋体" w:eastAsia="宋体" w:cs="宋体"/>
      <w:color w:val="auto"/>
      <w:kern w:val="0"/>
      <w:lang w:eastAsia="en-US"/>
    </w:rPr>
  </w:style>
  <w:style w:type="paragraph" w:styleId="3">
    <w:name w:val="index 5"/>
    <w:basedOn w:val="1"/>
    <w:next w:val="1"/>
    <w:qFormat/>
    <w:uiPriority w:val="99"/>
    <w:pPr>
      <w:ind w:left="1680"/>
    </w:pPr>
  </w:style>
  <w:style w:type="paragraph" w:styleId="4">
    <w:name w:val="Balloon Text"/>
    <w:basedOn w:val="1"/>
    <w:next w:val="3"/>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widowControl w:val="0"/>
      <w:autoSpaceDE w:val="0"/>
      <w:autoSpaceDN w:val="0"/>
      <w:ind w:firstLine="420" w:firstLineChars="100"/>
      <w:jc w:val="left"/>
    </w:pPr>
    <w:rPr>
      <w:rFonts w:ascii="Calibri" w:hAnsi="Calibri" w:eastAsia="宋体" w:cs="宋体"/>
      <w:kern w:val="0"/>
      <w:sz w:val="20"/>
      <w:szCs w:val="20"/>
      <w:lang w:val="zh-CN" w:eastAsia="zh-CN" w:bidi="zh-CN"/>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34"/>
    <w:pPr>
      <w:ind w:firstLine="420" w:firstLineChars="200"/>
    </w:p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7208</Words>
  <Characters>7363</Characters>
  <Lines>0</Lines>
  <Paragraphs>0</Paragraphs>
  <TotalTime>1</TotalTime>
  <ScaleCrop>false</ScaleCrop>
  <LinksUpToDate>false</LinksUpToDate>
  <CharactersWithSpaces>7617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2023-04-28T02:47:00Z</dcterms:created>
  <dc:creator>Administrator</dc:creator>
  <cp:lastModifiedBy>ZQQ</cp:lastModifiedBy>
  <dcterms:modified xsi:type="dcterms:W3CDTF">2025-12-02T03:28:58Z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A35FFFB69D4A4E28A8123256C943CE8D_13</vt:lpwstr>
  </property>
  <property fmtid="{D5CDD505-2E9C-101B-9397-08002B2CF9AE}" pid="4" name="KSOTemplateDocerSaveRecord">
    <vt:lpwstr>eyJoZGlkIjoiZDJjNTc3ZmNlYzJmODExZGZlNzhiNGY1NjY4ODk3MzciLCJ1c2VySWQiOiI0OTY4NzMzOTEifQ==</vt:lpwstr>
  </property>
</Properties>
</file>