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56" w:type="dxa"/>
        <w:jc w:val="center"/>
        <w:tblLayout w:type="fixed"/>
        <w:tblCellMar>
          <w:top w:w="0" w:type="dxa"/>
          <w:left w:w="0" w:type="dxa"/>
          <w:bottom w:w="0" w:type="dxa"/>
          <w:right w:w="0" w:type="dxa"/>
        </w:tblCellMar>
      </w:tblPr>
      <w:tblGrid>
        <w:gridCol w:w="1078"/>
        <w:gridCol w:w="1663"/>
        <w:gridCol w:w="1886"/>
        <w:gridCol w:w="5829"/>
      </w:tblGrid>
      <w:tr w14:paraId="07EB6238">
        <w:tblPrEx>
          <w:tblCellMar>
            <w:top w:w="0" w:type="dxa"/>
            <w:left w:w="0" w:type="dxa"/>
            <w:bottom w:w="0" w:type="dxa"/>
            <w:right w:w="0" w:type="dxa"/>
          </w:tblCellMar>
        </w:tblPrEx>
        <w:trPr>
          <w:trHeight w:val="375" w:hRule="atLeast"/>
          <w:jc w:val="center"/>
        </w:trPr>
        <w:tc>
          <w:tcPr>
            <w:tcW w:w="1045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8AC01">
            <w:pPr>
              <w:rPr>
                <w:rFonts w:ascii="黑体" w:hAnsi="宋体" w:eastAsia="黑体" w:cs="黑体"/>
                <w:color w:val="auto"/>
                <w:sz w:val="28"/>
                <w:szCs w:val="28"/>
                <w:highlight w:val="none"/>
              </w:rPr>
            </w:pPr>
            <w:r>
              <w:rPr>
                <w:rFonts w:hint="eastAsia" w:ascii="仿宋" w:hAnsi="仿宋" w:eastAsia="仿宋" w:cs="仿宋"/>
                <w:color w:val="auto"/>
                <w:kern w:val="0"/>
                <w:sz w:val="30"/>
                <w:szCs w:val="30"/>
                <w:highlight w:val="none"/>
                <w:lang w:bidi="ar"/>
              </w:rPr>
              <w:br w:type="page"/>
            </w:r>
            <w:r>
              <w:rPr>
                <w:rFonts w:hint="eastAsia" w:ascii="仿宋" w:hAnsi="仿宋" w:eastAsia="仿宋" w:cs="仿宋"/>
                <w:b/>
                <w:color w:val="auto"/>
                <w:kern w:val="0"/>
                <w:sz w:val="28"/>
                <w:szCs w:val="28"/>
                <w:highlight w:val="none"/>
                <w:lang w:bidi="ar"/>
              </w:rPr>
              <w:t>附件2 福州英华职业学院专任教师年度考核教科研与服务项目量化评分标准说明</w:t>
            </w:r>
          </w:p>
        </w:tc>
      </w:tr>
      <w:tr w14:paraId="7947C67B">
        <w:tblPrEx>
          <w:tblCellMar>
            <w:top w:w="0" w:type="dxa"/>
            <w:left w:w="0" w:type="dxa"/>
            <w:bottom w:w="0" w:type="dxa"/>
            <w:right w:w="0" w:type="dxa"/>
          </w:tblCellMar>
        </w:tblPrEx>
        <w:trPr>
          <w:trHeight w:val="495" w:hRule="atLeast"/>
          <w:jc w:val="center"/>
        </w:trPr>
        <w:tc>
          <w:tcPr>
            <w:tcW w:w="10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4C58">
            <w:pPr>
              <w:widowControl/>
              <w:ind w:firstLine="210" w:firstLineChars="95"/>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类别</w:t>
            </w:r>
          </w:p>
        </w:tc>
        <w:tc>
          <w:tcPr>
            <w:tcW w:w="354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72DE">
            <w:pPr>
              <w:widowControl/>
              <w:ind w:firstLine="210" w:firstLineChars="95"/>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项目</w:t>
            </w:r>
          </w:p>
        </w:tc>
        <w:tc>
          <w:tcPr>
            <w:tcW w:w="582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120B">
            <w:pPr>
              <w:widowControl/>
              <w:ind w:firstLine="210" w:firstLineChars="95"/>
              <w:jc w:val="center"/>
              <w:textAlignment w:val="center"/>
              <w:rPr>
                <w:rFonts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评价标准</w:t>
            </w:r>
          </w:p>
        </w:tc>
      </w:tr>
      <w:tr w14:paraId="4C653425">
        <w:tblPrEx>
          <w:tblCellMar>
            <w:top w:w="0" w:type="dxa"/>
            <w:left w:w="0" w:type="dxa"/>
            <w:bottom w:w="0" w:type="dxa"/>
            <w:right w:w="0" w:type="dxa"/>
          </w:tblCellMar>
        </w:tblPrEx>
        <w:trPr>
          <w:trHeight w:val="999" w:hRule="atLeast"/>
          <w:jc w:val="center"/>
        </w:trPr>
        <w:tc>
          <w:tcPr>
            <w:tcW w:w="10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06D6F46">
            <w:pPr>
              <w:widowControl/>
              <w:ind w:firstLine="210" w:firstLineChars="95"/>
              <w:jc w:val="center"/>
              <w:textAlignment w:val="center"/>
              <w:rPr>
                <w:rFonts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lang w:bidi="ar"/>
              </w:rPr>
              <w:t>教科研定额分（基本项考核分为实际完成的定额*转换系数β，以35分为上限）</w:t>
            </w:r>
          </w:p>
        </w:tc>
        <w:tc>
          <w:tcPr>
            <w:tcW w:w="16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1B6ED">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科技项目</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DB2A">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项目类别K1</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2220">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纵向：自然基础类为3；自然应用类为1.5；社科基础类为3；社科应用类为1.5。</w:t>
            </w:r>
          </w:p>
        </w:tc>
      </w:tr>
      <w:tr w14:paraId="3949763F">
        <w:tblPrEx>
          <w:tblCellMar>
            <w:top w:w="0" w:type="dxa"/>
            <w:left w:w="0" w:type="dxa"/>
            <w:bottom w:w="0" w:type="dxa"/>
            <w:right w:w="0" w:type="dxa"/>
          </w:tblCellMar>
        </w:tblPrEx>
        <w:trPr>
          <w:trHeight w:val="702"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1FC7B29">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BB5C9A">
            <w:pPr>
              <w:ind w:firstLine="228" w:firstLineChars="95"/>
              <w:jc w:val="center"/>
              <w:rPr>
                <w:rFonts w:ascii="仿宋" w:hAnsi="仿宋" w:eastAsia="仿宋" w:cs="仿宋"/>
                <w:color w:val="auto"/>
                <w:sz w:val="24"/>
                <w:highlight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EAF0E">
            <w:pPr>
              <w:ind w:firstLine="228" w:firstLineChars="95"/>
              <w:jc w:val="center"/>
              <w:rPr>
                <w:rFonts w:ascii="仿宋" w:hAnsi="仿宋" w:eastAsia="仿宋" w:cs="仿宋"/>
                <w:color w:val="auto"/>
                <w:sz w:val="24"/>
                <w:highlight w:val="none"/>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BB15">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横向：为1。</w:t>
            </w:r>
          </w:p>
        </w:tc>
      </w:tr>
      <w:tr w14:paraId="2F5ADC8B">
        <w:tblPrEx>
          <w:tblCellMar>
            <w:top w:w="0" w:type="dxa"/>
            <w:left w:w="0" w:type="dxa"/>
            <w:bottom w:w="0" w:type="dxa"/>
            <w:right w:w="0" w:type="dxa"/>
          </w:tblCellMar>
        </w:tblPrEx>
        <w:trPr>
          <w:trHeight w:val="1718"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C76006">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450735">
            <w:pPr>
              <w:ind w:firstLine="228" w:firstLineChars="95"/>
              <w:jc w:val="center"/>
              <w:rPr>
                <w:rFonts w:ascii="仿宋" w:hAnsi="仿宋" w:eastAsia="仿宋" w:cs="仿宋"/>
                <w:color w:val="auto"/>
                <w:sz w:val="24"/>
                <w:highlight w:val="none"/>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9564">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项目类别K2</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FF4A">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纵向：</w:t>
            </w:r>
          </w:p>
          <w:p w14:paraId="04237F7F">
            <w:pPr>
              <w:widowControl/>
              <w:numPr>
                <w:ilvl w:val="0"/>
                <w:numId w:val="1"/>
              </w:numPr>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国家级：重大为10；重点为8；普通为7；</w:t>
            </w:r>
          </w:p>
          <w:p w14:paraId="3D5ED969">
            <w:pPr>
              <w:widowControl/>
              <w:numPr>
                <w:ilvl w:val="0"/>
                <w:numId w:val="1"/>
              </w:numPr>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省部级：重大为6； 重点为5；普通为4；</w:t>
            </w:r>
          </w:p>
          <w:p w14:paraId="25D854E0">
            <w:pPr>
              <w:widowControl/>
              <w:numPr>
                <w:ilvl w:val="0"/>
                <w:numId w:val="1"/>
              </w:numPr>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市厅级：重大为3； 重点为2；普通为1。</w:t>
            </w:r>
          </w:p>
        </w:tc>
      </w:tr>
      <w:tr w14:paraId="4FD7E8D1">
        <w:tblPrEx>
          <w:tblCellMar>
            <w:top w:w="0" w:type="dxa"/>
            <w:left w:w="0" w:type="dxa"/>
            <w:bottom w:w="0" w:type="dxa"/>
            <w:right w:w="0" w:type="dxa"/>
          </w:tblCellMar>
        </w:tblPrEx>
        <w:trPr>
          <w:trHeight w:val="304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9810D1">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C3004C">
            <w:pPr>
              <w:ind w:firstLine="228" w:firstLineChars="95"/>
              <w:jc w:val="center"/>
              <w:rPr>
                <w:rFonts w:ascii="仿宋" w:hAnsi="仿宋" w:eastAsia="仿宋" w:cs="仿宋"/>
                <w:color w:val="auto"/>
                <w:sz w:val="24"/>
                <w:highlight w:val="none"/>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91FC">
            <w:pPr>
              <w:ind w:firstLine="228" w:firstLineChars="95"/>
              <w:jc w:val="center"/>
              <w:rPr>
                <w:rFonts w:ascii="仿宋" w:hAnsi="仿宋" w:eastAsia="仿宋" w:cs="仿宋"/>
                <w:color w:val="auto"/>
                <w:sz w:val="24"/>
                <w:highlight w:val="none"/>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67EFE">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横向：</w:t>
            </w:r>
          </w:p>
          <w:p w14:paraId="3726723E">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1.工科：q≥50万元为7；50万元&gt;q≥20万元为6；20万元&gt;q≥10万元为5；10万元&gt;q≥5万元为3；5万元&gt;q≥1万元为2；</w:t>
            </w:r>
          </w:p>
          <w:p w14:paraId="500A7C70">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2.文科：q≥20万元为7；20万元&gt;q≥10万元为6；</w:t>
            </w:r>
          </w:p>
          <w:p w14:paraId="45EC6D57">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10万元&gt;q≥5万元为5；5万元&gt;q≥1万元为2；</w:t>
            </w:r>
          </w:p>
          <w:p w14:paraId="0A02307A">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3.知识产权转化：q≥30万元为7；30万元&gt;q≥10万元为6；10万元&gt;q≥5万元为5；5万元&gt;q≥1万元为2。</w:t>
            </w:r>
          </w:p>
        </w:tc>
      </w:tr>
      <w:tr w14:paraId="1F8E3C95">
        <w:tblPrEx>
          <w:tblCellMar>
            <w:top w:w="0" w:type="dxa"/>
            <w:left w:w="0" w:type="dxa"/>
            <w:bottom w:w="0" w:type="dxa"/>
            <w:right w:w="0" w:type="dxa"/>
          </w:tblCellMar>
        </w:tblPrEx>
        <w:trPr>
          <w:trHeight w:val="641"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924120A">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A1D0B3">
            <w:pPr>
              <w:ind w:firstLine="228" w:firstLineChars="95"/>
              <w:jc w:val="center"/>
              <w:rPr>
                <w:rFonts w:ascii="仿宋" w:hAnsi="仿宋" w:eastAsia="仿宋" w:cs="仿宋"/>
                <w:color w:val="auto"/>
                <w:sz w:val="24"/>
                <w:highlight w:val="none"/>
              </w:rPr>
            </w:pPr>
          </w:p>
        </w:tc>
        <w:tc>
          <w:tcPr>
            <w:tcW w:w="7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5A0F4">
            <w:pPr>
              <w:widowControl/>
              <w:ind w:firstLine="228" w:firstLineChars="95"/>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标准工作量分值：K1*K2*q分</w:t>
            </w:r>
          </w:p>
        </w:tc>
      </w:tr>
      <w:tr w14:paraId="188F190D">
        <w:tblPrEx>
          <w:tblCellMar>
            <w:top w:w="0" w:type="dxa"/>
            <w:left w:w="0" w:type="dxa"/>
            <w:bottom w:w="0" w:type="dxa"/>
            <w:right w:w="0" w:type="dxa"/>
          </w:tblCellMar>
        </w:tblPrEx>
        <w:trPr>
          <w:trHeight w:val="315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CF79A6B">
            <w:pPr>
              <w:ind w:firstLine="209" w:firstLineChars="95"/>
              <w:jc w:val="center"/>
              <w:rPr>
                <w:rFonts w:ascii="宋体" w:hAnsi="宋体" w:eastAsia="宋体" w:cs="宋体"/>
                <w:color w:val="auto"/>
                <w:sz w:val="22"/>
                <w:szCs w:val="22"/>
                <w:highlight w:val="none"/>
              </w:rPr>
            </w:pPr>
          </w:p>
        </w:tc>
        <w:tc>
          <w:tcPr>
            <w:tcW w:w="16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35B99">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论著</w:t>
            </w:r>
          </w:p>
        </w:tc>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E9096">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论文</w:t>
            </w:r>
          </w:p>
        </w:tc>
        <w:tc>
          <w:tcPr>
            <w:tcW w:w="5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9EF3">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1.Nature、Science、Cell为1000分；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2.SCIE一区为100分；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3.SCIE二区为75分；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4.SCIE三区、SSCI为50分；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5.SCIE四区、EI为40分；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6.核心期刊为8分；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7.本科学报为5分；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8.其他CN期刊为2分；</w:t>
            </w:r>
          </w:p>
          <w:p w14:paraId="2299BFFF">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9.学术会议汇编收录1分。</w:t>
            </w:r>
          </w:p>
        </w:tc>
      </w:tr>
      <w:tr w14:paraId="739012AC">
        <w:tblPrEx>
          <w:tblCellMar>
            <w:top w:w="0" w:type="dxa"/>
            <w:left w:w="0" w:type="dxa"/>
            <w:bottom w:w="0" w:type="dxa"/>
            <w:right w:w="0" w:type="dxa"/>
          </w:tblCellMar>
        </w:tblPrEx>
        <w:trPr>
          <w:trHeight w:val="625"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3C2E31F">
            <w:pPr>
              <w:ind w:firstLine="209" w:firstLineChars="95"/>
              <w:jc w:val="center"/>
              <w:rPr>
                <w:rFonts w:ascii="宋体" w:hAnsi="宋体" w:eastAsia="宋体" w:cs="宋体"/>
                <w:color w:val="auto"/>
                <w:sz w:val="22"/>
                <w:szCs w:val="22"/>
                <w:highlight w:val="none"/>
              </w:rPr>
            </w:pPr>
          </w:p>
        </w:tc>
        <w:tc>
          <w:tcPr>
            <w:tcW w:w="16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65EA7">
            <w:pPr>
              <w:ind w:firstLine="228" w:firstLineChars="95"/>
              <w:jc w:val="center"/>
              <w:rPr>
                <w:rFonts w:ascii="仿宋" w:hAnsi="仿宋" w:eastAsia="仿宋" w:cs="仿宋"/>
                <w:color w:val="auto"/>
                <w:sz w:val="24"/>
                <w:highlight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5482B">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学术专著</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1113">
            <w:pPr>
              <w:widowControl/>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7.5分*著作字数/万字。</w:t>
            </w:r>
          </w:p>
        </w:tc>
      </w:tr>
      <w:tr w14:paraId="4C6DC518">
        <w:tblPrEx>
          <w:tblCellMar>
            <w:top w:w="0" w:type="dxa"/>
            <w:left w:w="0" w:type="dxa"/>
            <w:bottom w:w="0" w:type="dxa"/>
            <w:right w:w="0" w:type="dxa"/>
          </w:tblCellMar>
        </w:tblPrEx>
        <w:trPr>
          <w:trHeight w:val="720" w:hRule="atLeast"/>
          <w:jc w:val="center"/>
        </w:trPr>
        <w:tc>
          <w:tcPr>
            <w:tcW w:w="10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24BD">
            <w:pPr>
              <w:ind w:firstLine="209" w:firstLineChars="95"/>
              <w:jc w:val="center"/>
              <w:rPr>
                <w:rFonts w:ascii="宋体" w:hAnsi="宋体" w:eastAsia="宋体" w:cs="宋体"/>
                <w:color w:val="auto"/>
                <w:sz w:val="22"/>
                <w:szCs w:val="22"/>
                <w:highlight w:val="none"/>
              </w:rPr>
            </w:pPr>
          </w:p>
        </w:tc>
        <w:tc>
          <w:tcPr>
            <w:tcW w:w="16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1207D">
            <w:pPr>
              <w:ind w:firstLine="228" w:firstLineChars="95"/>
              <w:jc w:val="center"/>
              <w:rPr>
                <w:rFonts w:ascii="仿宋" w:hAnsi="仿宋" w:eastAsia="仿宋" w:cs="仿宋"/>
                <w:color w:val="auto"/>
                <w:sz w:val="24"/>
                <w:highlight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FEE5">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学术译著</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6A8C6">
            <w:pPr>
              <w:widowControl/>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2分*著作字数/万字。</w:t>
            </w:r>
          </w:p>
        </w:tc>
      </w:tr>
      <w:tr w14:paraId="6E284C21">
        <w:tblPrEx>
          <w:tblCellMar>
            <w:top w:w="0" w:type="dxa"/>
            <w:left w:w="0" w:type="dxa"/>
            <w:bottom w:w="0" w:type="dxa"/>
            <w:right w:w="0" w:type="dxa"/>
          </w:tblCellMar>
        </w:tblPrEx>
        <w:trPr>
          <w:trHeight w:val="2202" w:hRule="atLeast"/>
          <w:jc w:val="center"/>
        </w:trPr>
        <w:tc>
          <w:tcPr>
            <w:tcW w:w="10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8EA6A1E">
            <w:pPr>
              <w:ind w:firstLine="210" w:firstLineChars="95"/>
              <w:jc w:val="center"/>
              <w:rPr>
                <w:rFonts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lang w:bidi="ar"/>
              </w:rPr>
              <w:t>教科研定额分（基本项考核分为实际完成的定额*转换系数β，以35分为上限）</w:t>
            </w: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14:paraId="4724ABB8">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成果获奖</w:t>
            </w:r>
          </w:p>
          <w:p w14:paraId="4057997E">
            <w:pPr>
              <w:widowControl/>
              <w:ind w:firstLine="228" w:firstLineChars="95"/>
              <w:jc w:val="center"/>
              <w:textAlignment w:val="center"/>
              <w:rPr>
                <w:rFonts w:ascii="仿宋" w:hAnsi="仿宋" w:eastAsia="仿宋" w:cs="仿宋"/>
                <w:color w:val="auto"/>
                <w:sz w:val="24"/>
                <w:highlight w:val="none"/>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63975">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1.国家级奖励：一等为10000分、二等为6000分、重大贡献为5000分；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2.省部级奖励：一等为4000分、二等为3000分、重大贡献为2000分；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3.市厅级奖励：一等为1000分、二等为500分、重大贡献为300分。</w:t>
            </w:r>
          </w:p>
        </w:tc>
      </w:tr>
      <w:tr w14:paraId="6E8A0BFF">
        <w:tblPrEx>
          <w:tblCellMar>
            <w:top w:w="0" w:type="dxa"/>
            <w:left w:w="0" w:type="dxa"/>
            <w:bottom w:w="0" w:type="dxa"/>
            <w:right w:w="0" w:type="dxa"/>
          </w:tblCellMar>
        </w:tblPrEx>
        <w:trPr>
          <w:trHeight w:val="639"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F1471A4">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2A0F096">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专利</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F3B3D5A">
            <w:pPr>
              <w:widowControl/>
              <w:jc w:val="left"/>
              <w:textAlignment w:val="top"/>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国外专利为100分；发明专利为50分；实用新型专利为10分；外观设计专利、软件登记、集成电路设计为5分。</w:t>
            </w:r>
          </w:p>
        </w:tc>
      </w:tr>
      <w:tr w14:paraId="4179F2D2">
        <w:tblPrEx>
          <w:tblCellMar>
            <w:top w:w="0" w:type="dxa"/>
            <w:left w:w="0" w:type="dxa"/>
            <w:bottom w:w="0" w:type="dxa"/>
            <w:right w:w="0" w:type="dxa"/>
          </w:tblCellMar>
        </w:tblPrEx>
        <w:trPr>
          <w:trHeight w:val="684"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E2C782">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14:paraId="532AA3BC">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标准制订</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B3F0">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1.国家标准、行业标准为150分；</w:t>
            </w:r>
          </w:p>
          <w:p w14:paraId="5D9BCD8F">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2.地方标准、行业标准为50分。</w:t>
            </w:r>
          </w:p>
        </w:tc>
      </w:tr>
      <w:tr w14:paraId="37D8B0C0">
        <w:tblPrEx>
          <w:tblCellMar>
            <w:top w:w="0" w:type="dxa"/>
            <w:left w:w="0" w:type="dxa"/>
            <w:bottom w:w="0" w:type="dxa"/>
            <w:right w:w="0" w:type="dxa"/>
          </w:tblCellMar>
        </w:tblPrEx>
        <w:trPr>
          <w:trHeight w:val="97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42361D">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224C03F">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建议采纳</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6FAE45A">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1.国家领导人采纳为75分；</w:t>
            </w:r>
          </w:p>
          <w:p w14:paraId="563B43AD">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2.省部级领导采纳为30分；</w:t>
            </w:r>
          </w:p>
          <w:p w14:paraId="19BA3937">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3.市厅级领导采纳为15分。</w:t>
            </w:r>
          </w:p>
        </w:tc>
      </w:tr>
      <w:tr w14:paraId="1D233ABF">
        <w:tblPrEx>
          <w:tblCellMar>
            <w:top w:w="0" w:type="dxa"/>
            <w:left w:w="0" w:type="dxa"/>
            <w:bottom w:w="0" w:type="dxa"/>
            <w:right w:w="0" w:type="dxa"/>
          </w:tblCellMar>
        </w:tblPrEx>
        <w:trPr>
          <w:trHeight w:val="1248"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498931">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5C2826">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作品参展、收藏</w:t>
            </w:r>
          </w:p>
          <w:p w14:paraId="3B5881BB">
            <w:pPr>
              <w:widowControl/>
              <w:ind w:firstLine="228" w:firstLineChars="95"/>
              <w:jc w:val="center"/>
              <w:textAlignment w:val="center"/>
              <w:rPr>
                <w:rFonts w:ascii="仿宋" w:hAnsi="仿宋" w:eastAsia="仿宋" w:cs="仿宋"/>
                <w:color w:val="auto"/>
                <w:sz w:val="24"/>
                <w:highlight w:val="none"/>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1D5F5EA">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1.国家级为50分；</w:t>
            </w:r>
          </w:p>
          <w:p w14:paraId="4B2B22EF">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2.省部级为30分；</w:t>
            </w:r>
          </w:p>
          <w:p w14:paraId="033E167A">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3.市厅级为10分；</w:t>
            </w:r>
          </w:p>
          <w:p w14:paraId="78C619CE">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4.院级为2分。</w:t>
            </w:r>
          </w:p>
        </w:tc>
      </w:tr>
      <w:tr w14:paraId="38E671C3">
        <w:tblPrEx>
          <w:tblCellMar>
            <w:top w:w="0" w:type="dxa"/>
            <w:left w:w="0" w:type="dxa"/>
            <w:bottom w:w="0" w:type="dxa"/>
            <w:right w:w="0" w:type="dxa"/>
          </w:tblCellMar>
        </w:tblPrEx>
        <w:trPr>
          <w:trHeight w:val="95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6BAF15">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7D0A91">
            <w:pPr>
              <w:widowControl/>
              <w:ind w:firstLine="228" w:firstLineChars="95"/>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作品和艺术表演被媒体</w:t>
            </w:r>
          </w:p>
          <w:p w14:paraId="1DCEA0F5">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专题宣传</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1B3CC12">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1.央媒为40分；</w:t>
            </w:r>
          </w:p>
          <w:p w14:paraId="773B1527">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2.省媒为20分；</w:t>
            </w:r>
          </w:p>
          <w:p w14:paraId="5D8FBA38">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3.市媒为10分。</w:t>
            </w:r>
          </w:p>
        </w:tc>
      </w:tr>
      <w:tr w14:paraId="6617B35E">
        <w:tblPrEx>
          <w:tblCellMar>
            <w:top w:w="0" w:type="dxa"/>
            <w:left w:w="0" w:type="dxa"/>
            <w:bottom w:w="0" w:type="dxa"/>
            <w:right w:w="0" w:type="dxa"/>
          </w:tblCellMar>
        </w:tblPrEx>
        <w:trPr>
          <w:trHeight w:val="27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C1D0A93">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37BAAA">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科技平台建设</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69E5">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1.新增：国家级为1250分；省部级为500分；市厅级为100分；</w:t>
            </w:r>
          </w:p>
          <w:p w14:paraId="5BB6F714">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2.已有：国家级为250分；省部级为100分；市厅级为20分。</w:t>
            </w:r>
          </w:p>
        </w:tc>
      </w:tr>
      <w:tr w14:paraId="4C02A33C">
        <w:tblPrEx>
          <w:tblCellMar>
            <w:top w:w="0" w:type="dxa"/>
            <w:left w:w="0" w:type="dxa"/>
            <w:bottom w:w="0" w:type="dxa"/>
            <w:right w:w="0" w:type="dxa"/>
          </w:tblCellMar>
        </w:tblPrEx>
        <w:trPr>
          <w:trHeight w:val="540" w:hRule="atLeast"/>
          <w:jc w:val="center"/>
        </w:trPr>
        <w:tc>
          <w:tcPr>
            <w:tcW w:w="107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30A0CD3">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14:paraId="7D0CBDE5">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学术讲座/技术报告</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5C2A">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学术讲座/技术报告指前一年度开设的面向全院师生或本系师生的学术讲座/技术报告，院级为2分，系级为1分，每项不超过1次。</w:t>
            </w:r>
          </w:p>
        </w:tc>
      </w:tr>
      <w:tr w14:paraId="5DFDAEDC">
        <w:tblPrEx>
          <w:tblCellMar>
            <w:top w:w="0" w:type="dxa"/>
            <w:left w:w="0" w:type="dxa"/>
            <w:bottom w:w="0" w:type="dxa"/>
            <w:right w:w="0" w:type="dxa"/>
          </w:tblCellMar>
        </w:tblPrEx>
        <w:trPr>
          <w:trHeight w:val="985"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E769B2E">
            <w:pPr>
              <w:widowControl/>
              <w:textAlignment w:val="center"/>
              <w:rPr>
                <w:rFonts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lang w:bidi="ar"/>
              </w:rPr>
              <w:t>教科研附加分（本项考核分不进行转换，为完成的对应分值，与基本分总和以50分为上限</w:t>
            </w:r>
            <w:r>
              <w:rPr>
                <w:rFonts w:hint="eastAsia" w:ascii="宋体" w:hAnsi="宋体" w:eastAsia="宋体" w:cs="宋体"/>
                <w:b/>
                <w:bCs/>
                <w:color w:val="auto"/>
                <w:kern w:val="0"/>
                <w:sz w:val="22"/>
                <w:szCs w:val="22"/>
                <w:highlight w:val="none"/>
                <w:lang w:bidi="ar"/>
              </w:rPr>
              <w:t>）</w:t>
            </w:r>
          </w:p>
        </w:tc>
        <w:tc>
          <w:tcPr>
            <w:tcW w:w="354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72E49">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教改项目</w:t>
            </w:r>
          </w:p>
        </w:tc>
        <w:tc>
          <w:tcPr>
            <w:tcW w:w="582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249C760">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1.国家级80分；</w:t>
            </w:r>
          </w:p>
          <w:p w14:paraId="632CFEBF">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2.省级50分；</w:t>
            </w:r>
          </w:p>
          <w:p w14:paraId="3E06BB42">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3.市级25分；</w:t>
            </w:r>
          </w:p>
          <w:p w14:paraId="21C20E91">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4.院级重点项目：40分，院级一般项目：20分。</w:t>
            </w:r>
          </w:p>
        </w:tc>
      </w:tr>
      <w:tr w14:paraId="25E674D5">
        <w:tblPrEx>
          <w:tblCellMar>
            <w:top w:w="0" w:type="dxa"/>
            <w:left w:w="0" w:type="dxa"/>
            <w:bottom w:w="0" w:type="dxa"/>
            <w:right w:w="0" w:type="dxa"/>
          </w:tblCellMar>
        </w:tblPrEx>
        <w:trPr>
          <w:trHeight w:val="1268"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D246C60">
            <w:pPr>
              <w:ind w:firstLine="209" w:firstLineChars="95"/>
              <w:jc w:val="center"/>
              <w:rPr>
                <w:rFonts w:ascii="宋体" w:hAnsi="宋体" w:eastAsia="宋体" w:cs="宋体"/>
                <w:color w:val="auto"/>
                <w:sz w:val="22"/>
                <w:szCs w:val="22"/>
                <w:highlight w:val="none"/>
              </w:rPr>
            </w:pPr>
          </w:p>
        </w:tc>
        <w:tc>
          <w:tcPr>
            <w:tcW w:w="354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DB260">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教学质量工程</w:t>
            </w:r>
          </w:p>
        </w:tc>
        <w:tc>
          <w:tcPr>
            <w:tcW w:w="582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C69910E">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1.国家级100分；</w:t>
            </w:r>
          </w:p>
          <w:p w14:paraId="57D7E6E6">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2.省级80分；</w:t>
            </w:r>
          </w:p>
          <w:p w14:paraId="56772952">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3.市级40分；</w:t>
            </w:r>
          </w:p>
          <w:p w14:paraId="0C881893">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4.院级重点项目：60分，院级一般项目：30分。</w:t>
            </w:r>
          </w:p>
        </w:tc>
      </w:tr>
      <w:tr w14:paraId="05841D1B">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438DF74">
            <w:pPr>
              <w:ind w:firstLine="209" w:firstLineChars="95"/>
              <w:jc w:val="center"/>
              <w:rPr>
                <w:rFonts w:ascii="宋体" w:hAnsi="宋体" w:eastAsia="宋体" w:cs="宋体"/>
                <w:color w:val="auto"/>
                <w:sz w:val="22"/>
                <w:szCs w:val="22"/>
                <w:highlight w:val="none"/>
              </w:rPr>
            </w:pP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78068">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教材</w:t>
            </w: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9F733C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国家级规划教材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9C07B">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主编为10分/万字；副主编为6分/万字；参编为4分/万字。</w:t>
            </w:r>
          </w:p>
        </w:tc>
      </w:tr>
      <w:tr w14:paraId="74E94CC8">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9297288">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8DD76">
            <w:pPr>
              <w:ind w:firstLine="228" w:firstLineChars="95"/>
              <w:jc w:val="center"/>
              <w:rPr>
                <w:rFonts w:ascii="仿宋" w:hAnsi="仿宋" w:eastAsia="仿宋" w:cs="仿宋"/>
                <w:color w:val="auto"/>
                <w:sz w:val="24"/>
                <w:highlight w:val="none"/>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C75636E">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省部级规划教材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6C53D">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主编为6分/万字；副主编为4分/万字；参编为3分/万字。</w:t>
            </w:r>
          </w:p>
        </w:tc>
      </w:tr>
      <w:tr w14:paraId="334F775A">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C01EDDA">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32D98">
            <w:pPr>
              <w:ind w:firstLine="228" w:firstLineChars="95"/>
              <w:jc w:val="center"/>
              <w:rPr>
                <w:rFonts w:ascii="仿宋" w:hAnsi="仿宋" w:eastAsia="仿宋" w:cs="仿宋"/>
                <w:color w:val="auto"/>
                <w:sz w:val="24"/>
                <w:highlight w:val="none"/>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AC90E6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统编教材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0F00">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主编为5分/万字；副主编为3.5分/万字；参编为2.5分/万字。</w:t>
            </w:r>
          </w:p>
        </w:tc>
      </w:tr>
      <w:tr w14:paraId="22BBEFED">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8F488">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6F3A4">
            <w:pPr>
              <w:ind w:firstLine="228" w:firstLineChars="95"/>
              <w:jc w:val="center"/>
              <w:rPr>
                <w:rFonts w:ascii="仿宋" w:hAnsi="仿宋" w:eastAsia="仿宋" w:cs="仿宋"/>
                <w:color w:val="auto"/>
                <w:sz w:val="24"/>
                <w:highlight w:val="none"/>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30F9132">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校本教材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A13A2">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主编为4分/万字；副主编为3分/万字；参编为2分/万字。</w:t>
            </w:r>
          </w:p>
        </w:tc>
      </w:tr>
      <w:tr w14:paraId="4A193BCF">
        <w:tblPrEx>
          <w:tblCellMar>
            <w:top w:w="0" w:type="dxa"/>
            <w:left w:w="0" w:type="dxa"/>
            <w:bottom w:w="0" w:type="dxa"/>
            <w:right w:w="0" w:type="dxa"/>
          </w:tblCellMar>
        </w:tblPrEx>
        <w:trPr>
          <w:trHeight w:val="624"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8E5300B">
            <w:pPr>
              <w:rPr>
                <w:rFonts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lang w:bidi="ar"/>
              </w:rPr>
              <w:t>教科研附加分（本项考核分不进行转换，为完成的对应分值，与基本分总和以50分为上限</w:t>
            </w:r>
            <w:r>
              <w:rPr>
                <w:rFonts w:hint="eastAsia" w:ascii="宋体" w:hAnsi="宋体" w:eastAsia="宋体" w:cs="宋体"/>
                <w:b/>
                <w:bCs/>
                <w:color w:val="auto"/>
                <w:kern w:val="0"/>
                <w:sz w:val="22"/>
                <w:szCs w:val="22"/>
                <w:highlight w:val="none"/>
                <w:lang w:bidi="ar"/>
              </w:rPr>
              <w:t>）</w:t>
            </w: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4D774">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教学成果奖</w:t>
            </w: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1153402">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国家级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DCB">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特等为1000分；一等为800分；二等为500分。</w:t>
            </w:r>
          </w:p>
        </w:tc>
      </w:tr>
      <w:tr w14:paraId="77EC310D">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4EEED61">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31E91">
            <w:pPr>
              <w:ind w:firstLine="228" w:firstLineChars="95"/>
              <w:jc w:val="center"/>
              <w:rPr>
                <w:rFonts w:ascii="仿宋" w:hAnsi="仿宋" w:eastAsia="仿宋" w:cs="仿宋"/>
                <w:color w:val="auto"/>
                <w:sz w:val="24"/>
                <w:highlight w:val="none"/>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00F7FEE">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省级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030F">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特等为300分；一等为200分；二等为100分。</w:t>
            </w:r>
          </w:p>
        </w:tc>
      </w:tr>
      <w:tr w14:paraId="586EDA8D">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37C245F">
            <w:pPr>
              <w:ind w:firstLine="209" w:firstLineChars="95"/>
              <w:jc w:val="center"/>
              <w:rPr>
                <w:rFonts w:ascii="宋体" w:hAnsi="宋体" w:eastAsia="宋体" w:cs="宋体"/>
                <w:color w:val="auto"/>
                <w:sz w:val="22"/>
                <w:szCs w:val="22"/>
                <w:highlight w:val="none"/>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809EE">
            <w:pPr>
              <w:ind w:firstLine="228" w:firstLineChars="95"/>
              <w:jc w:val="center"/>
              <w:rPr>
                <w:rFonts w:ascii="仿宋" w:hAnsi="仿宋" w:eastAsia="仿宋" w:cs="仿宋"/>
                <w:color w:val="auto"/>
                <w:sz w:val="24"/>
                <w:highlight w:val="none"/>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F277CBA">
            <w:pPr>
              <w:widowControl/>
              <w:ind w:firstLine="228" w:firstLineChars="95"/>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院级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2F00E">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特等为80分；一等为40分；二等为20分。</w:t>
            </w:r>
          </w:p>
        </w:tc>
      </w:tr>
      <w:tr w14:paraId="5AEB8514">
        <w:tblPrEx>
          <w:tblCellMar>
            <w:top w:w="0" w:type="dxa"/>
            <w:left w:w="0" w:type="dxa"/>
            <w:bottom w:w="0" w:type="dxa"/>
            <w:right w:w="0" w:type="dxa"/>
          </w:tblCellMar>
        </w:tblPrEx>
        <w:trPr>
          <w:trHeight w:val="84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B61E879">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3BE79">
            <w:pPr>
              <w:ind w:firstLine="228" w:firstLineChars="95"/>
              <w:jc w:val="center"/>
              <w:rPr>
                <w:rFonts w:ascii="仿宋" w:hAnsi="仿宋" w:eastAsia="仿宋" w:cs="仿宋"/>
                <w:color w:val="auto"/>
                <w:sz w:val="24"/>
                <w:highlight w:val="none"/>
              </w:rPr>
            </w:pPr>
            <w:r>
              <w:rPr>
                <w:rFonts w:hint="eastAsia" w:ascii="仿宋" w:hAnsi="仿宋" w:eastAsia="仿宋" w:cs="仿宋"/>
                <w:color w:val="auto"/>
                <w:sz w:val="24"/>
                <w:highlight w:val="none"/>
              </w:rPr>
              <w:t>技术服务</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8CF310">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重点项目：60分，个人得分不超过20分，一般项目30分，个人得分不超过10分。</w:t>
            </w:r>
          </w:p>
        </w:tc>
      </w:tr>
      <w:tr w14:paraId="34F811C2">
        <w:tblPrEx>
          <w:tblCellMar>
            <w:top w:w="0" w:type="dxa"/>
            <w:left w:w="0" w:type="dxa"/>
            <w:bottom w:w="0" w:type="dxa"/>
            <w:right w:w="0" w:type="dxa"/>
          </w:tblCellMar>
        </w:tblPrEx>
        <w:trPr>
          <w:trHeight w:val="769"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CF593">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CE50F">
            <w:pPr>
              <w:ind w:firstLine="228" w:firstLineChars="95"/>
              <w:jc w:val="center"/>
              <w:rPr>
                <w:rFonts w:ascii="仿宋" w:hAnsi="仿宋" w:eastAsia="仿宋" w:cs="仿宋"/>
                <w:color w:val="auto"/>
                <w:sz w:val="24"/>
                <w:highlight w:val="none"/>
              </w:rPr>
            </w:pPr>
            <w:r>
              <w:rPr>
                <w:rFonts w:hint="eastAsia" w:ascii="仿宋" w:hAnsi="仿宋" w:eastAsia="仿宋" w:cs="仿宋"/>
                <w:color w:val="auto"/>
                <w:sz w:val="24"/>
                <w:highlight w:val="none"/>
              </w:rPr>
              <w:t>科技特派员</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9427D1">
            <w:pPr>
              <w:widowControl/>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省级：25分、市级15分、县级10分。</w:t>
            </w:r>
          </w:p>
        </w:tc>
      </w:tr>
      <w:tr w14:paraId="6AF7E1CB">
        <w:tblPrEx>
          <w:tblCellMar>
            <w:top w:w="0" w:type="dxa"/>
            <w:left w:w="0" w:type="dxa"/>
            <w:bottom w:w="0" w:type="dxa"/>
            <w:right w:w="0" w:type="dxa"/>
          </w:tblCellMar>
        </w:tblPrEx>
        <w:trPr>
          <w:trHeight w:val="1870"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9A8BAD1">
            <w:pPr>
              <w:rPr>
                <w:rFonts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lang w:bidi="ar"/>
              </w:rPr>
              <w:t>服务项目分值（以50分为上限）</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FA711">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兼任学院行政职务工作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89309D">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经学院考核合格，兼任副处级管理干部（含系部主任助理）者加35分；兼任教研室主任、专业带头人、教工支部书记者加16分；兼任教研室副主任者加13分；兼任支部书记者加12分、支部副书记者加10分；担任学院学术委员会、工会委员会、专业建设委员会、工会小组长，且履行职责者按5分/人计算分数（同一人兼任不同职务者第二项及以上按照60%计算分数）。</w:t>
            </w:r>
          </w:p>
        </w:tc>
      </w:tr>
      <w:tr w14:paraId="6ADB5F79">
        <w:tblPrEx>
          <w:tblCellMar>
            <w:top w:w="0" w:type="dxa"/>
            <w:left w:w="0" w:type="dxa"/>
            <w:bottom w:w="0" w:type="dxa"/>
            <w:right w:w="0" w:type="dxa"/>
          </w:tblCellMar>
        </w:tblPrEx>
        <w:trPr>
          <w:trHeight w:val="97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B10DB2D">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73079">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青年教师培养工作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8F0888C">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本学年担任青年教师导师，考核通过，按照6分/每个青年教师计算分数；考核不合格者，按照6分/每个青年教师进行扣分；本项分数上限为18分。</w:t>
            </w:r>
          </w:p>
        </w:tc>
      </w:tr>
      <w:tr w14:paraId="1860E014">
        <w:tblPrEx>
          <w:tblCellMar>
            <w:top w:w="0" w:type="dxa"/>
            <w:left w:w="0" w:type="dxa"/>
            <w:bottom w:w="0" w:type="dxa"/>
            <w:right w:w="0" w:type="dxa"/>
          </w:tblCellMar>
        </w:tblPrEx>
        <w:trPr>
          <w:trHeight w:val="120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4DB9BAD">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FA704">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担任社团或协会指导教师</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F9BCE5E">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学年担任校级或经学院审批同意的系级学生社团或协会指导教师，完成相应指导业务，提供活动策划、总结报告等按照6分/个计算分数；获得校级优秀指导教师另加1分，获得市级另加2分，获得省级另加3分；本项分数上限为10分。</w:t>
            </w:r>
          </w:p>
        </w:tc>
      </w:tr>
      <w:tr w14:paraId="45980171">
        <w:tblPrEx>
          <w:tblCellMar>
            <w:top w:w="0" w:type="dxa"/>
            <w:left w:w="0" w:type="dxa"/>
            <w:bottom w:w="0" w:type="dxa"/>
            <w:right w:w="0" w:type="dxa"/>
          </w:tblCellMar>
        </w:tblPrEx>
        <w:trPr>
          <w:trHeight w:val="79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296AA35">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DDDED">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担任班主任工作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D902529">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本学年担任学生班主任工作，考核通过者按照6分/人计算分数；本项分数上限为6分。</w:t>
            </w:r>
          </w:p>
        </w:tc>
      </w:tr>
      <w:tr w14:paraId="29148249">
        <w:tblPrEx>
          <w:tblCellMar>
            <w:top w:w="0" w:type="dxa"/>
            <w:left w:w="0" w:type="dxa"/>
            <w:bottom w:w="0" w:type="dxa"/>
            <w:right w:w="0" w:type="dxa"/>
          </w:tblCellMar>
        </w:tblPrEx>
        <w:trPr>
          <w:trHeight w:val="94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1CD6B14">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D9D6CB">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担任服务志愿者工作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435AC42">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担任学院安排的招生宣传、访企拓岗、迎新、招聘会、校级运动会、教师节大会、职业技能周、校园文化节等各类综合性、专项性工作的志愿者，工作认真负责的按照0.5分/小时计算分数。</w:t>
            </w:r>
          </w:p>
        </w:tc>
      </w:tr>
      <w:tr w14:paraId="5064D222">
        <w:tblPrEx>
          <w:tblCellMar>
            <w:top w:w="0" w:type="dxa"/>
            <w:left w:w="0" w:type="dxa"/>
            <w:bottom w:w="0" w:type="dxa"/>
            <w:right w:w="0" w:type="dxa"/>
          </w:tblCellMar>
        </w:tblPrEx>
        <w:trPr>
          <w:trHeight w:val="985"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E2D57BC">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492CD">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承办院级综合性活动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84E08B0">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本学年承办经学院审批同意的各类无报酬全院性综合活动，如校级运动会、教师节大会、职业技能周、校园文化节、职业技能比赛等，按照20分/项计算分数，分数权重由项目负责人统筹。</w:t>
            </w:r>
          </w:p>
        </w:tc>
      </w:tr>
      <w:tr w14:paraId="482A92CE">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ABE74B5">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0E039">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承办系级综合性活动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627B60">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本学年承办经学院审批同意的系级综合性活动（不含学工、团委组织的学生活动），按照10分/项计算分数，分数权重由项目负责人统筹。</w:t>
            </w:r>
          </w:p>
        </w:tc>
      </w:tr>
      <w:tr w14:paraId="6B5E3CB2">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0AA4A1B">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225D1">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承办单项活动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CF1889">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本学年承办经学院审批同意的单项活动，如篮球比赛、十佳歌手比赛等，按照5分/项计算分数，分数权重由项目负责人统筹。</w:t>
            </w:r>
          </w:p>
          <w:p w14:paraId="1D82E06B">
            <w:pPr>
              <w:widowControl/>
              <w:spacing w:line="260" w:lineRule="exact"/>
              <w:jc w:val="left"/>
              <w:textAlignment w:val="center"/>
              <w:rPr>
                <w:rFonts w:ascii="仿宋" w:hAnsi="仿宋" w:eastAsia="仿宋" w:cs="仿宋"/>
                <w:color w:val="auto"/>
                <w:kern w:val="0"/>
                <w:sz w:val="24"/>
                <w:highlight w:val="none"/>
                <w:lang w:bidi="ar"/>
              </w:rPr>
            </w:pPr>
          </w:p>
        </w:tc>
      </w:tr>
      <w:tr w14:paraId="500A9B68">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28CD21B">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11791">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执行学院重点工作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8EA6809">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执行学院文明校、文化建设等学院单项性重点工作，根据开展工作的成效按照60分/项计算分数；执行高水平学校申报等学院综合性重点工作，根据开展工作的成效按照200分/项计算分数；分数权重由项目负责人统筹。</w:t>
            </w:r>
          </w:p>
          <w:p w14:paraId="380D85C3">
            <w:pPr>
              <w:widowControl/>
              <w:spacing w:line="260" w:lineRule="exact"/>
              <w:jc w:val="left"/>
              <w:textAlignment w:val="center"/>
              <w:rPr>
                <w:rFonts w:ascii="仿宋" w:hAnsi="仿宋" w:eastAsia="仿宋" w:cs="仿宋"/>
                <w:color w:val="auto"/>
                <w:kern w:val="0"/>
                <w:sz w:val="24"/>
                <w:highlight w:val="none"/>
                <w:lang w:bidi="ar"/>
              </w:rPr>
            </w:pPr>
          </w:p>
        </w:tc>
      </w:tr>
      <w:tr w14:paraId="61419DE2">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BFDF4">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4193B">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学院建设性方案撰写</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42CDBE">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撰写学院各类建设性方案，获得学院采用者，按照10分/项计算分数，参与者分数由项目负责人统筹。</w:t>
            </w:r>
          </w:p>
          <w:p w14:paraId="3D241EDB">
            <w:pPr>
              <w:widowControl/>
              <w:spacing w:line="260" w:lineRule="exact"/>
              <w:jc w:val="left"/>
              <w:textAlignment w:val="center"/>
              <w:rPr>
                <w:rFonts w:ascii="仿宋" w:hAnsi="仿宋" w:eastAsia="仿宋" w:cs="仿宋"/>
                <w:color w:val="auto"/>
                <w:kern w:val="0"/>
                <w:sz w:val="24"/>
                <w:highlight w:val="none"/>
                <w:lang w:bidi="ar"/>
              </w:rPr>
            </w:pPr>
          </w:p>
        </w:tc>
      </w:tr>
      <w:tr w14:paraId="41EDB055">
        <w:tblPrEx>
          <w:tblCellMar>
            <w:top w:w="0" w:type="dxa"/>
            <w:left w:w="0" w:type="dxa"/>
            <w:bottom w:w="0" w:type="dxa"/>
            <w:right w:w="0" w:type="dxa"/>
          </w:tblCellMar>
        </w:tblPrEx>
        <w:trPr>
          <w:trHeight w:val="624"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75B372A9">
            <w:pPr>
              <w:rPr>
                <w:rFonts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lang w:bidi="ar"/>
              </w:rPr>
              <w:t>服务项目分值（以50分为上限）</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DC8AB">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专项工作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CAC1D9">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担任由学院统一安排的各类专项工作，工作认真负责，组织制定者按照5分/项计算分数。</w:t>
            </w:r>
          </w:p>
        </w:tc>
      </w:tr>
      <w:tr w14:paraId="15C3BF3F">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87C3675">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3BC7F">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担任专项报表或数据填报工作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368D868">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担任学院各类专项报表或数据填报工作，数据报送无误者按照3分/项计算分数。</w:t>
            </w:r>
          </w:p>
        </w:tc>
      </w:tr>
      <w:tr w14:paraId="111F74CB">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3C3DF44">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9503D">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实验（训）室或专业教室负责教师</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35E23AD">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担任实验（训）室或专业教室负责人，相关管理资料完整，无安全事故发生者，按照1间12分，2间20分计算分数。</w:t>
            </w:r>
          </w:p>
        </w:tc>
      </w:tr>
      <w:tr w14:paraId="5B12D537">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1599194">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E3F42">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开展培训讲座</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AA9C08F">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本学年根据学院管理工作需要，经学院审批后，开展各类校内外培训讲座，按照3分/场计算分数。</w:t>
            </w:r>
          </w:p>
        </w:tc>
      </w:tr>
      <w:tr w14:paraId="121A486B">
        <w:tblPrEx>
          <w:tblCellMar>
            <w:top w:w="0" w:type="dxa"/>
            <w:left w:w="0" w:type="dxa"/>
            <w:bottom w:w="0" w:type="dxa"/>
            <w:right w:w="0" w:type="dxa"/>
          </w:tblCellMar>
        </w:tblPrEx>
        <w:trPr>
          <w:trHeight w:val="84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D6D91A8">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92C8F">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担任学院两级教学督导工作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A854D10">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经学院聘任为教学督导，工作认真负责、履行职责者，按照院级督导15分/人、系级督导7分/人计算分数。</w:t>
            </w:r>
          </w:p>
        </w:tc>
      </w:tr>
      <w:tr w14:paraId="73E129BA">
        <w:tblPrEx>
          <w:tblCellMar>
            <w:top w:w="0" w:type="dxa"/>
            <w:left w:w="0" w:type="dxa"/>
            <w:bottom w:w="0" w:type="dxa"/>
            <w:right w:w="0" w:type="dxa"/>
          </w:tblCellMar>
        </w:tblPrEx>
        <w:trPr>
          <w:trHeight w:val="97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7DCBCF2">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E8D97">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代表学院参加各类活动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20F8DE">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由学院指派代表学院参加的汇演、职教周、校工会指派的各类活动等，具有提高学院声誉的，按照30分/项计算分数，每人单项目分数不高于10分，分数权重由项目负责人统筹。</w:t>
            </w:r>
          </w:p>
        </w:tc>
      </w:tr>
      <w:tr w14:paraId="3B13B42F">
        <w:tblPrEx>
          <w:tblCellMar>
            <w:top w:w="0" w:type="dxa"/>
            <w:left w:w="0" w:type="dxa"/>
            <w:bottom w:w="0" w:type="dxa"/>
            <w:right w:w="0" w:type="dxa"/>
          </w:tblCellMar>
        </w:tblPrEx>
        <w:trPr>
          <w:trHeight w:val="123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6EC2307">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966809">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参加学术会议、研讨会、培训等</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D205EDE">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经学院审批同意参加校外学术交流会、研讨会、培训会等，提交会议通知、会议报到、培训证书等佐证材料者，时间在一周以内的按照2分/人计算分数，超过一周者按照每超过一周加2分计算，网络培训者按以上标准减半。</w:t>
            </w:r>
          </w:p>
        </w:tc>
      </w:tr>
      <w:tr w14:paraId="143BF892">
        <w:tblPrEx>
          <w:tblCellMar>
            <w:top w:w="0" w:type="dxa"/>
            <w:left w:w="0" w:type="dxa"/>
            <w:bottom w:w="0" w:type="dxa"/>
            <w:right w:w="0" w:type="dxa"/>
          </w:tblCellMar>
        </w:tblPrEx>
        <w:trPr>
          <w:trHeight w:val="82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CF0813C">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8405D">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较长时间的替岗工作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75B9478">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因突发情况，接受学院、系部安排的较长时间的代替工作者，经学院审批同意，根据工作量情况按照15-30分/人计算分数。</w:t>
            </w:r>
          </w:p>
        </w:tc>
      </w:tr>
      <w:tr w14:paraId="6CCCE063">
        <w:tblPrEx>
          <w:tblCellMar>
            <w:top w:w="0" w:type="dxa"/>
            <w:left w:w="0" w:type="dxa"/>
            <w:bottom w:w="0" w:type="dxa"/>
            <w:right w:w="0" w:type="dxa"/>
          </w:tblCellMar>
        </w:tblPrEx>
        <w:trPr>
          <w:trHeight w:val="925"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912C0CD">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54952">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协助行政服务职务</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C0D4F8A">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因职能部门、系部工作需要，可向全院教师进行招募协助行政职务岗位，经学院审批同意者，根据教师协助时数及具体服务工作与成效按照20-35分/人计算分数。</w:t>
            </w:r>
          </w:p>
        </w:tc>
      </w:tr>
      <w:tr w14:paraId="1C60C8E5">
        <w:tblPrEx>
          <w:tblCellMar>
            <w:top w:w="0" w:type="dxa"/>
            <w:left w:w="0" w:type="dxa"/>
            <w:bottom w:w="0" w:type="dxa"/>
            <w:right w:w="0" w:type="dxa"/>
          </w:tblCellMar>
        </w:tblPrEx>
        <w:trPr>
          <w:trHeight w:val="97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1E06D">
            <w:pPr>
              <w:ind w:firstLine="209" w:firstLineChars="95"/>
              <w:jc w:val="center"/>
              <w:rPr>
                <w:rFonts w:ascii="宋体" w:hAnsi="宋体" w:eastAsia="宋体" w:cs="宋体"/>
                <w:color w:val="auto"/>
                <w:sz w:val="22"/>
                <w:szCs w:val="22"/>
                <w:highlight w:val="none"/>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D4351">
            <w:pPr>
              <w:widowControl/>
              <w:spacing w:line="260" w:lineRule="exact"/>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提高学院声誉工作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B09D8EF">
            <w:pPr>
              <w:widowControl/>
              <w:spacing w:line="260" w:lineRule="exact"/>
              <w:jc w:val="left"/>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为学院取得各项荣誉，被媒体宣传报道，提高学院声誉的各类工作，按照1分/人.次计算分数。</w:t>
            </w:r>
          </w:p>
        </w:tc>
      </w:tr>
    </w:tbl>
    <w:p w14:paraId="24BC835A">
      <w:pPr>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说明：</w:t>
      </w:r>
    </w:p>
    <w:p w14:paraId="40FF35F0">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1.</w:t>
      </w:r>
      <w:r>
        <w:rPr>
          <w:rFonts w:hint="eastAsia" w:ascii="仿宋" w:hAnsi="仿宋" w:eastAsia="仿宋" w:cs="仿宋"/>
          <w:color w:val="auto"/>
          <w:kern w:val="0"/>
          <w:sz w:val="24"/>
          <w:highlight w:val="none"/>
          <w:lang w:bidi="ar"/>
        </w:rPr>
        <w:t>科技项目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▲科技项目是指前一年度(即考核年度，下同)新立项目(院级项目除外)。</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▲自然基础类是指国家自然科学基金项目、省自然科学基金项目。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▲自然应用类是指纵向自然类项目除自然基础类外的其他项目。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▲社科基础类是指国家级科学、省科技厅级科学、国家社科基金、省社科规划、教育部、教育厅重点项目的纵向社科项目。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▲社科应用类是指纵向社科类项目除社科基础类外的其他项目。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▲q是指实际到校经费(单位:万元)。</w:t>
      </w:r>
    </w:p>
    <w:p w14:paraId="52D46A52">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▲横向项目经费计算按个人年度累加。</w:t>
      </w:r>
    </w:p>
    <w:p w14:paraId="632CBC9D">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▲知识产权转化是指专利、软件版权、著作权等转化到校经费。</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1）国家级项目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国家级重大项目是指我院为申报(依托)单位主持的国家自然(社会)科学基金重大项目(含参照重大项目管理的专项)。国家科技重大专项、国家重大科学研究计划、国家科技支撑计划、国家重大高技术产业化发展项目，国家自然科学基金创新研究群体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国家级重点项目是指我院为申报(依托)单位主持的国家自然(社会)科学基金重点项目(含参照重点项目管理的专项)，国家杰出青年科学基金项目，国家科技重大专项、国家重大科学研究计划、国家科技支撑计划、国家重大高技术产业化发展项目所属独立课题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国家级普通项目是指我院为申报(依托)单位主持的国家自然(社会)科学基金面上项目和青年基金(含参照面上管理的专项)，国家科技重大专项、国家重大科学研究计划、国家科技支撑计划、国家重大高技术产业化发展项目的子课题，国家高技术产业化发展项目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2）省部级项目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▲省部级重大项目是指我院为申报(依托)单位主持的教育部等相关部委重大(培育)项目，省科技厅、省发改委等重大项目等;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▲省部级重点项目是指我院为申报(依托)单位主持的教育部等相   关部委重点项目，省杰出青年科学基金，省科技厅、发改委重点项目等;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▲省部级普通项目是指我院为申报(依托)单位主持的除上述各类型项目以外的其他各类纵向项目。</w:t>
      </w:r>
    </w:p>
    <w:p w14:paraId="578741B8">
      <w:pPr>
        <w:widowControl/>
        <w:numPr>
          <w:ilvl w:val="0"/>
          <w:numId w:val="2"/>
        </w:numPr>
        <w:spacing w:line="340" w:lineRule="exact"/>
        <w:ind w:firstLine="228" w:firstLineChars="95"/>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市厅级项目</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▲市厅级重大项目是指我院为申报(依托)单位主持的教育厅重大(培育)项目，市科技局、市发改委等重大项目等;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▲市厅级重点项目是指我院为申报(依托)单位主持的教育厅重点项目，省科技厅、发改委重点项目等;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▲市厅级普通项目是指我院为申报(依托)单位主持的除上述各类型项目以外的其他各类纵向项目。</w:t>
      </w:r>
    </w:p>
    <w:p w14:paraId="10B62813">
      <w:pPr>
        <w:widowControl/>
        <w:spacing w:line="340" w:lineRule="exact"/>
        <w:ind w:firstLine="468" w:firstLineChars="195"/>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备注:我院不是项目申报单位但我院教师作为负责人的项目，可按我院为第一单位予以认定参照执行;各类项目若资助部门明确规定企业牵头申报、高校只能作为第一合作单位，且在批准通知或计划文件署名“福州英华职业学院”为第一合作单位，可按我院为第一单位予以认定参照执行。</w:t>
      </w:r>
    </w:p>
    <w:p w14:paraId="6C6831C4">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2.</w:t>
      </w:r>
      <w:r>
        <w:rPr>
          <w:rFonts w:hint="eastAsia" w:ascii="仿宋" w:hAnsi="仿宋" w:eastAsia="仿宋" w:cs="仿宋"/>
          <w:color w:val="auto"/>
          <w:kern w:val="0"/>
          <w:sz w:val="24"/>
          <w:highlight w:val="none"/>
          <w:lang w:bidi="ar"/>
        </w:rPr>
        <w:t>科技成果</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▲著作指前一年度由出版部门正式出版的学术著作。</w:t>
      </w:r>
    </w:p>
    <w:p w14:paraId="410ADF21">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▲著作字数是指由我院执笔撰写的字数。</w:t>
      </w:r>
    </w:p>
    <w:p w14:paraId="78C640D0">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▲论文JCR分区以当年中国科技信息研究所提供的数据为准。</w:t>
      </w:r>
    </w:p>
    <w:p w14:paraId="798EEEFD">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▲核心期刊以《中国核心期刊要目总览》为准。</w:t>
      </w:r>
    </w:p>
    <w:p w14:paraId="3A35DE8B">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▲CN 刊物是指在我国境内注册、国内公开发行的刊物。</w:t>
      </w:r>
    </w:p>
    <w:p w14:paraId="3B95A9DF">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▲合作论文中我院教师和其他专业技术人员只能以福州英华职业学院为唯一作者单位。</w:t>
      </w:r>
    </w:p>
    <w:p w14:paraId="3FB3860A">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▲除特别说明外，论文计分只给第一作者或通讯作者。</w:t>
      </w:r>
    </w:p>
    <w:p w14:paraId="37BBC17A">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3.</w:t>
      </w:r>
      <w:r>
        <w:rPr>
          <w:rFonts w:hint="eastAsia" w:ascii="仿宋" w:hAnsi="仿宋" w:eastAsia="仿宋" w:cs="仿宋"/>
          <w:color w:val="auto"/>
          <w:kern w:val="0"/>
          <w:sz w:val="24"/>
          <w:highlight w:val="none"/>
          <w:lang w:bidi="ar"/>
        </w:rPr>
        <w:t>成果获奖</w:t>
      </w:r>
    </w:p>
    <w:p w14:paraId="76A91F0F">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▲成果获奖是指前一年度获得的国家、省部、市厅级科学奖励。国家、省部、市厅级奖:若我院为第二完成单位，其分值按相应奖项减半计算。若我院为第三完成单位按30%计分。其他位次均按10%计分。</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▲国家级奖励是指国家自然科学奖、国家技术发明奖、国家科学技术进步奖等。</w:t>
      </w:r>
    </w:p>
    <w:p w14:paraId="08112129">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省部级奖励是指由专门的管理机构按照既定的管理办法，定期组织、开放申报和严格评审，并以国家部委办局、省、自治区、直辖市名义下达的科技奖励。主要包括:(教育部)高等学校科学研究优秀成果奖、省社会科学优秀成果奖、省科技进步奖、全国教育科学研究优秀成果奖及国家有关部委的科技成果奖等。</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 xml:space="preserve">    ▲市厅级奖励是指由专门的管理机构按照既定的管理办法，定期组织、开放申报和严格评审，并以省各厅、局、部、委等部门和设区市名义下达的科技奖励。主要包括:福建省高等教育社会科学研究优秀成果、福州市社会科学优秀成果奖、福州市科学技术奖等。</w:t>
      </w:r>
    </w:p>
    <w:p w14:paraId="503E2D80">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4.</w:t>
      </w:r>
      <w:r>
        <w:rPr>
          <w:rFonts w:hint="eastAsia" w:ascii="仿宋" w:hAnsi="仿宋" w:eastAsia="仿宋" w:cs="仿宋"/>
          <w:color w:val="auto"/>
          <w:kern w:val="0"/>
          <w:sz w:val="24"/>
          <w:highlight w:val="none"/>
          <w:lang w:bidi="ar"/>
        </w:rPr>
        <w:t>专利</w:t>
      </w:r>
    </w:p>
    <w:p w14:paraId="6E2E079A">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▲授权专利是指前一年度授权的职务专利。</w:t>
      </w:r>
    </w:p>
    <w:p w14:paraId="4C419281">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▲软件登记是指前一年度向国家版权局登记的软件。</w:t>
      </w:r>
    </w:p>
    <w:p w14:paraId="2B84B633">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▲集成电路设计是指前一年度向国家知识产权局登记的设计。</w:t>
      </w:r>
    </w:p>
    <w:p w14:paraId="3233C351">
      <w:pPr>
        <w:widowControl/>
        <w:spacing w:line="340" w:lineRule="exact"/>
        <w:ind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▲知识产权(专利、软件登记、集成电路设计)有多个权属人(我院为其中之一)时，按权属人数平分科研工作量。</w:t>
      </w:r>
    </w:p>
    <w:p w14:paraId="4CF5C669">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5.</w:t>
      </w:r>
      <w:r>
        <w:rPr>
          <w:rFonts w:hint="eastAsia" w:ascii="仿宋" w:hAnsi="仿宋" w:eastAsia="仿宋" w:cs="仿宋"/>
          <w:color w:val="auto"/>
          <w:kern w:val="0"/>
          <w:sz w:val="24"/>
          <w:highlight w:val="none"/>
          <w:lang w:bidi="ar"/>
        </w:rPr>
        <w:t>标准</w:t>
      </w:r>
    </w:p>
    <w:p w14:paraId="4883FABF">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▲标准是指由福州英华职业学院作为第一或参与制定单位获得的标准(包括技术规范、规程)。若我院为第二制定单位，其分值按相应类别减半计算。若我院为第三制定单位按 30%计分。其他位次均按10%计分。</w:t>
      </w:r>
    </w:p>
    <w:p w14:paraId="06640B0D">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6.</w:t>
      </w:r>
      <w:r>
        <w:rPr>
          <w:rFonts w:hint="eastAsia" w:ascii="仿宋" w:hAnsi="仿宋" w:eastAsia="仿宋" w:cs="仿宋"/>
          <w:color w:val="auto"/>
          <w:kern w:val="0"/>
          <w:sz w:val="24"/>
          <w:highlight w:val="none"/>
          <w:lang w:bidi="ar"/>
        </w:rPr>
        <w:t>建议采纳</w:t>
      </w:r>
    </w:p>
    <w:p w14:paraId="1ACDA454">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优秀建议被采纳，需出具国家领导人的批示、省市级领导的批示或加盖国家部委或省市政府公章的证明。若我院为第二建议单位，其分值按相应项目减半计算。若我院为第三建议单位按30%计分。其他位次均按10%计分。</w:t>
      </w:r>
    </w:p>
    <w:p w14:paraId="0E59EE8F">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7.</w:t>
      </w:r>
      <w:r>
        <w:rPr>
          <w:rFonts w:hint="eastAsia" w:ascii="仿宋" w:hAnsi="仿宋" w:eastAsia="仿宋" w:cs="仿宋"/>
          <w:color w:val="auto"/>
          <w:kern w:val="0"/>
          <w:sz w:val="24"/>
          <w:highlight w:val="none"/>
          <w:lang w:bidi="ar"/>
        </w:rPr>
        <w:t>科研项目/作品参展、收藏</w:t>
      </w:r>
    </w:p>
    <w:p w14:paraId="49152C27">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▲科研项目/作品参展是指前一年度参加国家、省部、市厅级展示的科研项目/作品。国家、省部、市厅级:若我院为第二完成单位，其分值按相应级别减半计算。若我院为第三完成单位按 30%计分。其他位次均按 10%计分。作品被学院收藏或作为学院礼品赠送外宾 2分。</w:t>
      </w:r>
    </w:p>
    <w:p w14:paraId="0470BEED">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8.</w:t>
      </w:r>
      <w:r>
        <w:rPr>
          <w:rFonts w:hint="eastAsia" w:ascii="仿宋" w:hAnsi="仿宋" w:eastAsia="仿宋" w:cs="仿宋"/>
          <w:color w:val="auto"/>
          <w:kern w:val="0"/>
          <w:sz w:val="24"/>
          <w:highlight w:val="none"/>
          <w:lang w:bidi="ar"/>
        </w:rPr>
        <w:t>科研项目、作品和艺术表演被媒体专题报道宣传</w:t>
      </w:r>
    </w:p>
    <w:p w14:paraId="2FA5A74E">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▲专题是指在15分钟以上或广告影视3条以上（以广播报、电视报的节目预报文字或广播电台、电视台的证明为准）。</w:t>
      </w:r>
    </w:p>
    <w:p w14:paraId="0E2BB1AD">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▲表演项目认定范围限于独唱、独奏、独舞、合唱指挥、戏剧表演的主角。</w:t>
      </w:r>
    </w:p>
    <w:p w14:paraId="74D7032A">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9.</w:t>
      </w:r>
      <w:r>
        <w:rPr>
          <w:rFonts w:hint="eastAsia" w:ascii="仿宋" w:hAnsi="仿宋" w:eastAsia="仿宋" w:cs="仿宋"/>
          <w:color w:val="auto"/>
          <w:kern w:val="0"/>
          <w:sz w:val="24"/>
          <w:highlight w:val="none"/>
          <w:lang w:bidi="ar"/>
        </w:rPr>
        <w:t>科技平台建设</w:t>
      </w:r>
    </w:p>
    <w:p w14:paraId="02576689">
      <w:pPr>
        <w:widowControl/>
        <w:spacing w:line="340" w:lineRule="exact"/>
        <w:ind w:left="718" w:leftChars="342"/>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▲科技平台是指前一年度新批准立项建设的平台。</w:t>
      </w:r>
      <w:r>
        <w:rPr>
          <w:rFonts w:hint="eastAsia" w:ascii="仿宋" w:hAnsi="仿宋" w:eastAsia="仿宋" w:cs="仿宋"/>
          <w:color w:val="auto"/>
          <w:kern w:val="0"/>
          <w:sz w:val="24"/>
          <w:highlight w:val="none"/>
          <w:lang w:bidi="ar"/>
        </w:rPr>
        <w:br w:type="textWrapping"/>
      </w:r>
      <w:r>
        <w:rPr>
          <w:rFonts w:hint="eastAsia" w:ascii="仿宋" w:hAnsi="仿宋" w:eastAsia="仿宋" w:cs="仿宋"/>
          <w:color w:val="auto"/>
          <w:kern w:val="0"/>
          <w:sz w:val="24"/>
          <w:highlight w:val="none"/>
          <w:lang w:bidi="ar"/>
        </w:rPr>
        <w:t>▲国家级是指国家发改委、科技部批准建立的平台。</w:t>
      </w:r>
    </w:p>
    <w:p w14:paraId="4A6AA6A3">
      <w:pPr>
        <w:widowControl/>
        <w:spacing w:line="340" w:lineRule="exact"/>
        <w:ind w:firstLine="708" w:firstLineChars="295"/>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▲省部级是指除发改委、科技部外部委、科技厅、省发改委等批准建立的平台。</w:t>
      </w:r>
    </w:p>
    <w:p w14:paraId="69AFBA61">
      <w:pPr>
        <w:widowControl/>
        <w:spacing w:line="340" w:lineRule="exact"/>
        <w:ind w:firstLine="708" w:firstLineChars="295"/>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▲市厅级是指除科技厅、发改委外厅级、科技局、市发改委批准建立的平台。</w:t>
      </w:r>
    </w:p>
    <w:p w14:paraId="01C93B52">
      <w:pPr>
        <w:widowControl/>
        <w:spacing w:line="340" w:lineRule="exact"/>
        <w:ind w:firstLine="708" w:firstLineChars="295"/>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▲已有平台是指获批的市厅级及以上平台前一年通过相应级别主管部门评估或校内考核的平台。</w:t>
      </w:r>
    </w:p>
    <w:p w14:paraId="4008E883">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10.</w:t>
      </w:r>
      <w:r>
        <w:rPr>
          <w:rFonts w:hint="eastAsia" w:ascii="仿宋" w:hAnsi="仿宋" w:eastAsia="仿宋" w:cs="仿宋"/>
          <w:color w:val="auto"/>
          <w:kern w:val="0"/>
          <w:sz w:val="24"/>
          <w:highlight w:val="none"/>
          <w:lang w:bidi="ar"/>
        </w:rPr>
        <w:t>教材</w:t>
      </w:r>
    </w:p>
    <w:p w14:paraId="17D96AC3">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国家规划或省部级规划教材是指以国家或省部级名义下达的规划教材，其他由出版社正式出版的专科及以上教材为统编教材，校本教材是学院内部使用尚未正式出版的教材，以上教材应是学院审批立项的教材；再版书籍（包括修订版）按原标准的10％计分，重印不计分。</w:t>
      </w:r>
    </w:p>
    <w:p w14:paraId="33065C50">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11.</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sz w:val="24"/>
          <w:highlight w:val="none"/>
        </w:rPr>
        <w:t>技术服务</w:t>
      </w:r>
      <w:r>
        <w:rPr>
          <w:rFonts w:hint="eastAsia" w:ascii="仿宋" w:hAnsi="仿宋" w:eastAsia="仿宋" w:cs="仿宋"/>
          <w:color w:val="auto"/>
          <w:kern w:val="0"/>
          <w:sz w:val="24"/>
          <w:highlight w:val="none"/>
          <w:lang w:bidi="ar"/>
        </w:rPr>
        <w:t xml:space="preserve"> </w:t>
      </w:r>
    </w:p>
    <w:p w14:paraId="39241503">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▲根据学院工作安排，教师利用专业技术优势开展乡村振兴、互联网营销师培训等社会服务。</w:t>
      </w:r>
    </w:p>
    <w:p w14:paraId="122A2D72">
      <w:pPr>
        <w:widowControl/>
        <w:numPr>
          <w:ilvl w:val="0"/>
          <w:numId w:val="0"/>
        </w:numPr>
        <w:spacing w:line="340" w:lineRule="exact"/>
        <w:ind w:left="0" w:leftChars="0" w:firstLine="228" w:firstLineChars="95"/>
        <w:jc w:val="left"/>
        <w:rPr>
          <w:rFonts w:ascii="仿宋" w:hAnsi="仿宋" w:eastAsia="仿宋" w:cs="仿宋"/>
          <w:color w:val="auto"/>
          <w:kern w:val="0"/>
          <w:sz w:val="24"/>
          <w:highlight w:val="none"/>
          <w:lang w:bidi="ar"/>
        </w:rPr>
      </w:pPr>
      <w:r>
        <w:rPr>
          <w:rFonts w:hint="default" w:ascii="仿宋" w:hAnsi="仿宋" w:eastAsia="仿宋" w:cs="仿宋"/>
          <w:color w:val="auto"/>
          <w:kern w:val="0"/>
          <w:sz w:val="24"/>
          <w:szCs w:val="24"/>
          <w:lang w:val="en-US" w:eastAsia="zh-CN" w:bidi="ar"/>
        </w:rPr>
        <w:t>12.</w:t>
      </w:r>
      <w:r>
        <w:rPr>
          <w:rFonts w:hint="eastAsia" w:ascii="仿宋" w:hAnsi="仿宋" w:eastAsia="仿宋" w:cs="仿宋"/>
          <w:color w:val="auto"/>
          <w:kern w:val="0"/>
          <w:sz w:val="24"/>
          <w:highlight w:val="none"/>
          <w:lang w:bidi="ar"/>
        </w:rPr>
        <w:t>其它</w:t>
      </w:r>
    </w:p>
    <w:p w14:paraId="16173FEA">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▲除特别说明外，教科研工作量计分范围均以我院为第一署名单位申请和取(获)得的科技项目、科技成果、平台建设和学术交流工作量计分。</w:t>
      </w:r>
    </w:p>
    <w:p w14:paraId="0124D3D6">
      <w:pPr>
        <w:widowControl/>
        <w:spacing w:line="340" w:lineRule="exact"/>
        <w:ind w:left="199" w:leftChars="95" w:firstLine="480" w:firstLineChars="200"/>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▲跨年度项目可在确定立项时申请50%分值，验收通过后申请剩余50%分值，若验收不通过，将在考核年度扣回立项时申请分值。</w:t>
      </w:r>
    </w:p>
    <w:p w14:paraId="16C34F46">
      <w:pPr>
        <w:ind w:firstLine="720" w:firstLineChars="300"/>
        <w:rPr>
          <w:rFonts w:ascii="仿宋" w:hAnsi="仿宋" w:eastAsia="仿宋" w:cs="仿宋"/>
          <w:color w:val="auto"/>
          <w:kern w:val="0"/>
          <w:sz w:val="30"/>
          <w:szCs w:val="30"/>
          <w:highlight w:val="none"/>
          <w:lang w:bidi="ar"/>
        </w:rPr>
      </w:pPr>
      <w:r>
        <w:rPr>
          <w:rFonts w:hint="eastAsia" w:ascii="仿宋" w:hAnsi="仿宋" w:eastAsia="仿宋" w:cs="仿宋"/>
          <w:color w:val="auto"/>
          <w:kern w:val="0"/>
          <w:sz w:val="24"/>
          <w:highlight w:val="none"/>
          <w:lang w:bidi="ar"/>
        </w:rPr>
        <w:t>▲涉及教科研工作量计分项目，专任教师应主动向教务处申请备案，凡未经教务处登记备案的项目不予确认。</w:t>
      </w:r>
      <w:r>
        <w:rPr>
          <w:rFonts w:hint="eastAsia" w:ascii="仿宋" w:hAnsi="仿宋" w:eastAsia="仿宋" w:cs="仿宋"/>
          <w:color w:val="auto"/>
          <w:kern w:val="0"/>
          <w:sz w:val="24"/>
          <w:highlight w:val="none"/>
          <w:lang w:bidi="ar"/>
        </w:rPr>
        <w:br w:type="textWrapping"/>
      </w:r>
    </w:p>
    <w:p w14:paraId="4565FD1D">
      <w:pPr>
        <w:spacing w:line="100" w:lineRule="exact"/>
        <w:jc w:val="center"/>
        <w:rPr>
          <w:color w:val="auto"/>
          <w:highlight w:val="none"/>
        </w:rPr>
      </w:pPr>
      <w:bookmarkStart w:id="0" w:name="_GoBack"/>
      <w:bookmarkEnd w:id="0"/>
    </w:p>
    <w:sectPr>
      <w:footerReference r:id="rId3" w:type="default"/>
      <w:pgSz w:w="11906" w:h="16838"/>
      <w:pgMar w:top="1440" w:right="1633" w:bottom="1440" w:left="163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E492">
    <w:pPr>
      <w:pStyle w:val="6"/>
    </w:pPr>
    <w:r>
      <mc:AlternateContent>
        <mc:Choice Requires="wps">
          <w:drawing>
            <wp:anchor distT="0" distB="0" distL="114300" distR="114300" simplePos="0" relativeHeight="251659264" behindDoc="0" locked="0" layoutInCell="1" allowOverlap="1">
              <wp:simplePos x="0" y="0"/>
              <wp:positionH relativeFrom="margin">
                <wp:posOffset>5168265</wp:posOffset>
              </wp:positionH>
              <wp:positionV relativeFrom="paragraph">
                <wp:posOffset>0</wp:posOffset>
              </wp:positionV>
              <wp:extent cx="1828800" cy="1828800"/>
              <wp:effectExtent l="0" t="0" r="127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5D905">
                          <w:pPr>
                            <w:pStyle w:val="6"/>
                            <w:rPr>
                              <w:sz w:val="24"/>
                            </w:rPr>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95pt;margin-top:0pt;height:144pt;width:144pt;mso-position-horizontal-relative:margin;mso-wrap-style:none;z-index:251659264;mso-width-relative:page;mso-height-relative:page;" filled="f" stroked="f" coordsize="21600,21600" o:gfxdata="UEsDBAoAAAAAAIdO4kAAAAAAAAAAAAAAAAAEAAAAZHJzL1BLAwQUAAAACACHTuJAYbg2o9UAAAAJ&#10;AQAADwAAAGRycy9kb3ducmV2LnhtbE2PzU7DMBCE70i8g7VI3KjtFqEQsqlERTgi0fTA0Y2XJOCf&#10;yHbT8Pa4JziOZjTzTbVdrGEzhTh6hyBXAhi5zuvR9QiHtrkrgMWknFbGO0L4oQjb+vqqUqX2Z/dO&#10;8z71LJe4WCqEIaWp5Dx2A1kVV34il71PH6xKWYae66DOudwavhbigVs1urwwqIl2A3Xf+5NF2DVt&#10;G2aKwXzQa7P5enu+p5cF8fZGiidgiZb0F4YLfkaHOjMd/cnpyAxCITePOYqQH11sKWTWR4R1UQjg&#10;dcX/P6h/AV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G4NqPVAAAACQ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4B75D905">
                    <w:pPr>
                      <w:pStyle w:val="6"/>
                      <w:rPr>
                        <w:sz w:val="24"/>
                      </w:rPr>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5CD7E"/>
    <w:multiLevelType w:val="singleLevel"/>
    <w:tmpl w:val="8665CD7E"/>
    <w:lvl w:ilvl="0" w:tentative="0">
      <w:start w:val="1"/>
      <w:numFmt w:val="decimal"/>
      <w:suff w:val="nothing"/>
      <w:lvlText w:val="%1、"/>
      <w:lvlJc w:val="left"/>
    </w:lvl>
  </w:abstractNum>
  <w:abstractNum w:abstractNumId="1">
    <w:nsid w:val="DBF71726"/>
    <w:multiLevelType w:val="singleLevel"/>
    <w:tmpl w:val="DBF7172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jU2YzMwYTBkYjhjMzU5ZDkzN2Y4ODQzNzU0MzUifQ=="/>
    <w:docVar w:name="KSO_WPS_MARK_KEY" w:val="9f3c4e1b-a623-465f-bc8b-acd818fee2f1"/>
  </w:docVars>
  <w:rsids>
    <w:rsidRoot w:val="00E872F9"/>
    <w:rsid w:val="00293C34"/>
    <w:rsid w:val="003B27E4"/>
    <w:rsid w:val="006B31C3"/>
    <w:rsid w:val="00783957"/>
    <w:rsid w:val="00A546B9"/>
    <w:rsid w:val="00B70B6E"/>
    <w:rsid w:val="00B94FB9"/>
    <w:rsid w:val="00BE4500"/>
    <w:rsid w:val="00C9700A"/>
    <w:rsid w:val="00DB33B2"/>
    <w:rsid w:val="00E806AB"/>
    <w:rsid w:val="00E872F9"/>
    <w:rsid w:val="00F3675A"/>
    <w:rsid w:val="00FA2AE3"/>
    <w:rsid w:val="012A2337"/>
    <w:rsid w:val="01A85E28"/>
    <w:rsid w:val="023935F7"/>
    <w:rsid w:val="02B7624C"/>
    <w:rsid w:val="03DF6894"/>
    <w:rsid w:val="04CB4231"/>
    <w:rsid w:val="057C377D"/>
    <w:rsid w:val="06055520"/>
    <w:rsid w:val="070B0CE5"/>
    <w:rsid w:val="08634780"/>
    <w:rsid w:val="08BA6E28"/>
    <w:rsid w:val="09EF4C97"/>
    <w:rsid w:val="0EF44384"/>
    <w:rsid w:val="10EB0857"/>
    <w:rsid w:val="13B67FFA"/>
    <w:rsid w:val="13D604FC"/>
    <w:rsid w:val="1626576B"/>
    <w:rsid w:val="1827742D"/>
    <w:rsid w:val="19126A3D"/>
    <w:rsid w:val="191E16FA"/>
    <w:rsid w:val="1D1831EE"/>
    <w:rsid w:val="1F4D42B1"/>
    <w:rsid w:val="1FD053FB"/>
    <w:rsid w:val="209572E4"/>
    <w:rsid w:val="2480698E"/>
    <w:rsid w:val="254C6870"/>
    <w:rsid w:val="284B2E0F"/>
    <w:rsid w:val="28695417"/>
    <w:rsid w:val="29456BA0"/>
    <w:rsid w:val="2A5F0DF4"/>
    <w:rsid w:val="2A7A3E7F"/>
    <w:rsid w:val="2AED43CE"/>
    <w:rsid w:val="2C041930"/>
    <w:rsid w:val="2DB41456"/>
    <w:rsid w:val="2DC16EA3"/>
    <w:rsid w:val="30A25D51"/>
    <w:rsid w:val="311359CC"/>
    <w:rsid w:val="3332113D"/>
    <w:rsid w:val="362F3D70"/>
    <w:rsid w:val="385D1F1B"/>
    <w:rsid w:val="3B447FA0"/>
    <w:rsid w:val="3C6B01E7"/>
    <w:rsid w:val="3D53070F"/>
    <w:rsid w:val="3F7B6278"/>
    <w:rsid w:val="4330712C"/>
    <w:rsid w:val="43EA39CC"/>
    <w:rsid w:val="43F565F9"/>
    <w:rsid w:val="48096C66"/>
    <w:rsid w:val="48385242"/>
    <w:rsid w:val="4AAB1D1C"/>
    <w:rsid w:val="4B264198"/>
    <w:rsid w:val="4B46773A"/>
    <w:rsid w:val="4EDF659D"/>
    <w:rsid w:val="50A13C77"/>
    <w:rsid w:val="527E1C17"/>
    <w:rsid w:val="54D33FCD"/>
    <w:rsid w:val="563849EB"/>
    <w:rsid w:val="574B7E86"/>
    <w:rsid w:val="57672F12"/>
    <w:rsid w:val="58165C3B"/>
    <w:rsid w:val="5AC8439B"/>
    <w:rsid w:val="5B843B28"/>
    <w:rsid w:val="5B921487"/>
    <w:rsid w:val="5BA94A65"/>
    <w:rsid w:val="5E2B5FA2"/>
    <w:rsid w:val="60540456"/>
    <w:rsid w:val="607B1164"/>
    <w:rsid w:val="64B662D8"/>
    <w:rsid w:val="658517C5"/>
    <w:rsid w:val="67492634"/>
    <w:rsid w:val="69C7509D"/>
    <w:rsid w:val="6B837CC9"/>
    <w:rsid w:val="6D91263F"/>
    <w:rsid w:val="703025E3"/>
    <w:rsid w:val="704901D4"/>
    <w:rsid w:val="707E0F14"/>
    <w:rsid w:val="70C51AF7"/>
    <w:rsid w:val="70CD7E32"/>
    <w:rsid w:val="71755DD4"/>
    <w:rsid w:val="7311735D"/>
    <w:rsid w:val="73695978"/>
    <w:rsid w:val="741D0DB4"/>
    <w:rsid w:val="7471323E"/>
    <w:rsid w:val="7538135D"/>
    <w:rsid w:val="793D4D17"/>
    <w:rsid w:val="7A831D41"/>
    <w:rsid w:val="7C882ED4"/>
    <w:rsid w:val="7D7A5418"/>
    <w:rsid w:val="7F15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style>
  <w:style w:type="paragraph" w:styleId="4">
    <w:name w:val="Date"/>
    <w:basedOn w:val="1"/>
    <w:next w:val="1"/>
    <w:link w:val="13"/>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w:basedOn w:val="3"/>
    <w:unhideWhenUsed/>
    <w:qFormat/>
    <w:uiPriority w:val="99"/>
    <w:pPr>
      <w:ind w:firstLine="420" w:firstLineChars="100"/>
    </w:pPr>
    <w:rPr>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日期 Char"/>
    <w:basedOn w:val="12"/>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6724</Words>
  <Characters>6965</Characters>
  <Lines>97</Lines>
  <Paragraphs>27</Paragraphs>
  <TotalTime>5</TotalTime>
  <ScaleCrop>false</ScaleCrop>
  <LinksUpToDate>false</LinksUpToDate>
  <CharactersWithSpaces>7045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2022-08-03T05:52:00Z</dcterms:created>
  <dc:creator>40417</dc:creator>
  <cp:lastModifiedBy>笑笑.baba.黄传登</cp:lastModifiedBy>
  <cp:lastPrinted>2025-04-15T08:37:00Z</cp:lastPrinted>
  <dcterms:modified xsi:type="dcterms:W3CDTF">2025-04-24T01:31:39Z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B395712755C548FEAAC7134383610E75_13</vt:lpwstr>
  </property>
  <property fmtid="{D5CDD505-2E9C-101B-9397-08002B2CF9AE}" pid="4" name="KSOTemplateDocerSaveRecord">
    <vt:lpwstr>eyJoZGlkIjoiZGU0MjIyODM2OGNmMzNmYTYxZWI0M2M0NjI3M2I3MWUiLCJ1c2VySWQiOiIzNjcwNzIyMTcifQ==</vt:lpwstr>
  </property>
</Properties>
</file>