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6B9A5">
      <w:pPr>
        <w:pStyle w:val="2"/>
        <w:spacing w:before="141" w:line="197" w:lineRule="auto"/>
        <w:ind w:left="142"/>
      </w:pPr>
      <w:r>
        <w:rPr>
          <w:spacing w:val="14"/>
        </w:rPr>
        <w:t>附件2</w:t>
      </w:r>
    </w:p>
    <w:p w14:paraId="735170CC">
      <w:pPr>
        <w:pStyle w:val="2"/>
        <w:spacing w:before="127" w:line="494" w:lineRule="exact"/>
        <w:jc w:val="center"/>
        <w:rPr>
          <w:sz w:val="43"/>
          <w:szCs w:val="43"/>
        </w:rPr>
      </w:pPr>
      <w:bookmarkStart w:id="0" w:name="_GoBack"/>
      <w:r>
        <w:rPr>
          <w:rFonts w:hint="eastAsia"/>
          <w:spacing w:val="9"/>
          <w:position w:val="-1"/>
          <w:sz w:val="43"/>
          <w:szCs w:val="43"/>
          <w:lang w:val="en-US" w:eastAsia="zh-CN"/>
        </w:rPr>
        <w:t>福州英华职业学院</w:t>
      </w:r>
      <w:r>
        <w:rPr>
          <w:spacing w:val="9"/>
          <w:position w:val="-1"/>
          <w:sz w:val="43"/>
          <w:szCs w:val="43"/>
        </w:rPr>
        <w:t>修缮工程申请表</w:t>
      </w:r>
    </w:p>
    <w:bookmarkEnd w:id="0"/>
    <w:tbl>
      <w:tblPr>
        <w:tblStyle w:val="7"/>
        <w:tblW w:w="911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1"/>
        <w:gridCol w:w="2098"/>
        <w:gridCol w:w="1292"/>
        <w:gridCol w:w="60"/>
        <w:gridCol w:w="2030"/>
        <w:gridCol w:w="1837"/>
      </w:tblGrid>
      <w:tr w14:paraId="35D47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801" w:type="dxa"/>
            <w:vMerge w:val="restart"/>
            <w:tcBorders>
              <w:bottom w:val="nil"/>
            </w:tcBorders>
            <w:vAlign w:val="top"/>
          </w:tcPr>
          <w:p w14:paraId="4EBE8D11">
            <w:pPr>
              <w:pStyle w:val="6"/>
              <w:spacing w:line="360" w:lineRule="auto"/>
            </w:pPr>
          </w:p>
          <w:p w14:paraId="56A36700">
            <w:pPr>
              <w:spacing w:before="91" w:line="197" w:lineRule="auto"/>
              <w:ind w:left="276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spacing w:val="8"/>
                <w:sz w:val="20"/>
                <w:szCs w:val="20"/>
              </w:rPr>
              <w:t>修缮项目名称</w:t>
            </w:r>
          </w:p>
        </w:tc>
        <w:tc>
          <w:tcPr>
            <w:tcW w:w="3450" w:type="dxa"/>
            <w:gridSpan w:val="3"/>
            <w:vMerge w:val="restart"/>
            <w:tcBorders>
              <w:bottom w:val="nil"/>
            </w:tcBorders>
            <w:vAlign w:val="top"/>
          </w:tcPr>
          <w:p w14:paraId="74EB7CF3">
            <w:pPr>
              <w:pStyle w:val="6"/>
            </w:pPr>
          </w:p>
        </w:tc>
        <w:tc>
          <w:tcPr>
            <w:tcW w:w="2030" w:type="dxa"/>
            <w:vMerge w:val="restart"/>
            <w:tcBorders>
              <w:bottom w:val="nil"/>
            </w:tcBorders>
            <w:vAlign w:val="top"/>
          </w:tcPr>
          <w:p w14:paraId="1F181CF2">
            <w:pPr>
              <w:spacing w:before="214" w:line="249" w:lineRule="auto"/>
              <w:ind w:left="322" w:right="277" w:hanging="9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spacing w:val="4"/>
                <w:sz w:val="20"/>
                <w:szCs w:val="20"/>
              </w:rPr>
              <w:t>申请部门经办人</w:t>
            </w:r>
            <w:r>
              <w:rPr>
                <w:rFonts w:ascii="PingFang SC" w:hAnsi="PingFang SC" w:eastAsia="PingFang SC" w:cs="PingFang SC"/>
                <w:spacing w:val="7"/>
                <w:sz w:val="20"/>
                <w:szCs w:val="20"/>
              </w:rPr>
              <w:t>联系方式</w:t>
            </w:r>
          </w:p>
        </w:tc>
        <w:tc>
          <w:tcPr>
            <w:tcW w:w="1837" w:type="dxa"/>
            <w:vAlign w:val="top"/>
          </w:tcPr>
          <w:p w14:paraId="52DA99AB">
            <w:pPr>
              <w:pStyle w:val="6"/>
            </w:pPr>
          </w:p>
        </w:tc>
      </w:tr>
      <w:tr w14:paraId="2B7DE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801" w:type="dxa"/>
            <w:vMerge w:val="continue"/>
            <w:tcBorders>
              <w:top w:val="nil"/>
            </w:tcBorders>
            <w:vAlign w:val="top"/>
          </w:tcPr>
          <w:p w14:paraId="039DA778">
            <w:pPr>
              <w:pStyle w:val="6"/>
            </w:pPr>
          </w:p>
        </w:tc>
        <w:tc>
          <w:tcPr>
            <w:tcW w:w="3450" w:type="dxa"/>
            <w:gridSpan w:val="3"/>
            <w:vMerge w:val="continue"/>
            <w:tcBorders>
              <w:top w:val="nil"/>
            </w:tcBorders>
            <w:vAlign w:val="top"/>
          </w:tcPr>
          <w:p w14:paraId="0CC6F3B7">
            <w:pPr>
              <w:pStyle w:val="6"/>
            </w:pPr>
          </w:p>
        </w:tc>
        <w:tc>
          <w:tcPr>
            <w:tcW w:w="2030" w:type="dxa"/>
            <w:vMerge w:val="continue"/>
            <w:tcBorders>
              <w:top w:val="nil"/>
            </w:tcBorders>
            <w:vAlign w:val="top"/>
          </w:tcPr>
          <w:p w14:paraId="3E6600CB">
            <w:pPr>
              <w:pStyle w:val="6"/>
            </w:pPr>
          </w:p>
        </w:tc>
        <w:tc>
          <w:tcPr>
            <w:tcW w:w="1837" w:type="dxa"/>
            <w:vAlign w:val="top"/>
          </w:tcPr>
          <w:p w14:paraId="7F89F7EF">
            <w:pPr>
              <w:pStyle w:val="6"/>
            </w:pPr>
          </w:p>
        </w:tc>
      </w:tr>
      <w:tr w14:paraId="3EBCA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801" w:type="dxa"/>
            <w:vAlign w:val="top"/>
          </w:tcPr>
          <w:p w14:paraId="476EA23D">
            <w:pPr>
              <w:spacing w:before="90" w:line="197" w:lineRule="auto"/>
              <w:ind w:left="143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spacing w:val="3"/>
                <w:sz w:val="20"/>
                <w:szCs w:val="20"/>
              </w:rPr>
              <w:t>申请修缮内容</w:t>
            </w:r>
          </w:p>
          <w:p w14:paraId="087776C3">
            <w:pPr>
              <w:spacing w:before="28" w:line="196" w:lineRule="auto"/>
              <w:ind w:left="126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spacing w:val="5"/>
                <w:sz w:val="20"/>
                <w:szCs w:val="20"/>
              </w:rPr>
              <w:t>（可另附页）</w:t>
            </w:r>
          </w:p>
        </w:tc>
        <w:tc>
          <w:tcPr>
            <w:tcW w:w="7317" w:type="dxa"/>
            <w:gridSpan w:val="5"/>
            <w:vAlign w:val="top"/>
          </w:tcPr>
          <w:p w14:paraId="3CA51CB7">
            <w:pPr>
              <w:pStyle w:val="6"/>
            </w:pPr>
          </w:p>
        </w:tc>
      </w:tr>
      <w:tr w14:paraId="0850C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801" w:type="dxa"/>
            <w:vAlign w:val="top"/>
          </w:tcPr>
          <w:p w14:paraId="03A81700">
            <w:pPr>
              <w:spacing w:before="214" w:line="231" w:lineRule="auto"/>
              <w:ind w:left="126" w:right="219" w:firstLine="16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spacing w:val="4"/>
                <w:sz w:val="20"/>
                <w:szCs w:val="20"/>
              </w:rPr>
              <w:t>申请理由和依据</w:t>
            </w:r>
            <w:r>
              <w:rPr>
                <w:rFonts w:ascii="PingFang SC" w:hAnsi="PingFang SC" w:eastAsia="PingFang SC" w:cs="PingFang SC"/>
                <w:spacing w:val="5"/>
                <w:sz w:val="20"/>
                <w:szCs w:val="20"/>
              </w:rPr>
              <w:t>（可另附页）</w:t>
            </w:r>
          </w:p>
        </w:tc>
        <w:tc>
          <w:tcPr>
            <w:tcW w:w="7317" w:type="dxa"/>
            <w:gridSpan w:val="5"/>
            <w:vAlign w:val="top"/>
          </w:tcPr>
          <w:p w14:paraId="1DC3AB00">
            <w:pPr>
              <w:pStyle w:val="6"/>
            </w:pPr>
          </w:p>
        </w:tc>
      </w:tr>
      <w:tr w14:paraId="290BC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801" w:type="dxa"/>
            <w:vAlign w:val="top"/>
          </w:tcPr>
          <w:p w14:paraId="5C741C81">
            <w:pPr>
              <w:pStyle w:val="6"/>
              <w:spacing w:line="327" w:lineRule="auto"/>
            </w:pPr>
          </w:p>
          <w:p w14:paraId="1EE90BAE">
            <w:pPr>
              <w:spacing w:before="91" w:line="197" w:lineRule="auto"/>
              <w:ind w:left="143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spacing w:val="3"/>
                <w:sz w:val="20"/>
                <w:szCs w:val="20"/>
              </w:rPr>
              <w:t>申请部门意见</w:t>
            </w:r>
          </w:p>
        </w:tc>
        <w:tc>
          <w:tcPr>
            <w:tcW w:w="7317" w:type="dxa"/>
            <w:gridSpan w:val="5"/>
            <w:vAlign w:val="top"/>
          </w:tcPr>
          <w:p w14:paraId="2567103B">
            <w:pPr>
              <w:pStyle w:val="6"/>
              <w:spacing w:line="294" w:lineRule="auto"/>
            </w:pPr>
          </w:p>
          <w:p w14:paraId="16663E90">
            <w:pPr>
              <w:pStyle w:val="6"/>
              <w:spacing w:line="295" w:lineRule="auto"/>
            </w:pPr>
          </w:p>
          <w:p w14:paraId="3777EF3E">
            <w:pPr>
              <w:spacing w:before="91" w:line="178" w:lineRule="auto"/>
              <w:ind w:left="3472"/>
              <w:jc w:val="both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spacing w:val="-1"/>
                <w:sz w:val="20"/>
                <w:szCs w:val="20"/>
              </w:rPr>
              <w:t>签章：</w:t>
            </w:r>
            <w:r>
              <w:rPr>
                <w:rFonts w:hint="eastAsia" w:ascii="PingFang SC" w:hAnsi="PingFang SC" w:eastAsia="PingFang SC" w:cs="PingFang SC"/>
                <w:spacing w:val="-1"/>
                <w:sz w:val="20"/>
                <w:szCs w:val="20"/>
                <w:lang w:val="en-US" w:eastAsia="zh-CN"/>
              </w:rPr>
              <w:t xml:space="preserve">            </w:t>
            </w:r>
            <w:r>
              <w:rPr>
                <w:rFonts w:ascii="PingFang SC" w:hAnsi="PingFang SC" w:eastAsia="PingFang SC" w:cs="PingFang SC"/>
                <w:spacing w:val="-1"/>
                <w:sz w:val="20"/>
                <w:szCs w:val="20"/>
              </w:rPr>
              <w:t>日期：</w:t>
            </w:r>
          </w:p>
        </w:tc>
      </w:tr>
      <w:tr w14:paraId="520BD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801" w:type="dxa"/>
            <w:vMerge w:val="restart"/>
            <w:tcBorders>
              <w:bottom w:val="nil"/>
            </w:tcBorders>
            <w:vAlign w:val="top"/>
          </w:tcPr>
          <w:p w14:paraId="01B1B29D">
            <w:pPr>
              <w:pStyle w:val="6"/>
              <w:spacing w:line="341" w:lineRule="auto"/>
            </w:pPr>
          </w:p>
          <w:p w14:paraId="36132D83">
            <w:pPr>
              <w:pStyle w:val="6"/>
              <w:spacing w:line="342" w:lineRule="auto"/>
            </w:pPr>
          </w:p>
          <w:p w14:paraId="0603D7B9">
            <w:pPr>
              <w:spacing w:before="91" w:line="197" w:lineRule="auto"/>
              <w:ind w:left="117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spacing w:val="8"/>
                <w:sz w:val="20"/>
                <w:szCs w:val="20"/>
              </w:rPr>
              <w:t>后勤管理处意见</w:t>
            </w:r>
          </w:p>
        </w:tc>
        <w:tc>
          <w:tcPr>
            <w:tcW w:w="2098" w:type="dxa"/>
            <w:vAlign w:val="top"/>
          </w:tcPr>
          <w:p w14:paraId="62CDE81E">
            <w:pPr>
              <w:spacing w:before="206" w:line="197" w:lineRule="auto"/>
              <w:ind w:left="114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spacing w:val="7"/>
                <w:sz w:val="20"/>
                <w:szCs w:val="20"/>
              </w:rPr>
              <w:t>预算总金额（万元）</w:t>
            </w:r>
          </w:p>
        </w:tc>
        <w:tc>
          <w:tcPr>
            <w:tcW w:w="1292" w:type="dxa"/>
            <w:vAlign w:val="top"/>
          </w:tcPr>
          <w:p w14:paraId="3739E622">
            <w:pPr>
              <w:pStyle w:val="6"/>
            </w:pPr>
          </w:p>
        </w:tc>
        <w:tc>
          <w:tcPr>
            <w:tcW w:w="2090" w:type="dxa"/>
            <w:gridSpan w:val="2"/>
            <w:vAlign w:val="top"/>
          </w:tcPr>
          <w:p w14:paraId="529323FC">
            <w:pPr>
              <w:spacing w:before="207" w:line="246" w:lineRule="auto"/>
              <w:ind w:left="115" w:right="104" w:hanging="2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spacing w:val="22"/>
                <w:sz w:val="20"/>
                <w:szCs w:val="20"/>
              </w:rPr>
              <w:t>造价审核金额（万</w:t>
            </w:r>
            <w:r>
              <w:rPr>
                <w:rFonts w:ascii="PingFang SC" w:hAnsi="PingFang SC" w:eastAsia="PingFang SC" w:cs="PingFang SC"/>
                <w:spacing w:val="-1"/>
                <w:sz w:val="20"/>
                <w:szCs w:val="20"/>
              </w:rPr>
              <w:t>元）</w:t>
            </w:r>
          </w:p>
        </w:tc>
        <w:tc>
          <w:tcPr>
            <w:tcW w:w="1837" w:type="dxa"/>
            <w:vAlign w:val="top"/>
          </w:tcPr>
          <w:p w14:paraId="7D0572E5">
            <w:pPr>
              <w:pStyle w:val="6"/>
            </w:pPr>
          </w:p>
        </w:tc>
      </w:tr>
      <w:tr w14:paraId="56C8E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801" w:type="dxa"/>
            <w:vMerge w:val="continue"/>
            <w:tcBorders>
              <w:top w:val="nil"/>
            </w:tcBorders>
            <w:vAlign w:val="top"/>
          </w:tcPr>
          <w:p w14:paraId="03B00048">
            <w:pPr>
              <w:pStyle w:val="6"/>
            </w:pPr>
          </w:p>
        </w:tc>
        <w:tc>
          <w:tcPr>
            <w:tcW w:w="2098" w:type="dxa"/>
            <w:vAlign w:val="top"/>
          </w:tcPr>
          <w:p w14:paraId="569A8A0B">
            <w:pPr>
              <w:spacing w:before="207" w:line="197" w:lineRule="auto"/>
              <w:ind w:left="115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spacing w:val="8"/>
                <w:sz w:val="20"/>
                <w:szCs w:val="20"/>
              </w:rPr>
              <w:t>部门负责人意见</w:t>
            </w:r>
          </w:p>
        </w:tc>
        <w:tc>
          <w:tcPr>
            <w:tcW w:w="5219" w:type="dxa"/>
            <w:gridSpan w:val="4"/>
            <w:vAlign w:val="top"/>
          </w:tcPr>
          <w:p w14:paraId="097A66A2">
            <w:pPr>
              <w:pStyle w:val="6"/>
            </w:pPr>
          </w:p>
        </w:tc>
      </w:tr>
      <w:tr w14:paraId="162B1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801" w:type="dxa"/>
            <w:vAlign w:val="top"/>
          </w:tcPr>
          <w:p w14:paraId="3C3D20FF">
            <w:pPr>
              <w:spacing w:before="222" w:line="197" w:lineRule="auto"/>
              <w:ind w:left="278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spacing w:val="7"/>
                <w:sz w:val="20"/>
                <w:szCs w:val="20"/>
              </w:rPr>
              <w:t>经费归口部门</w:t>
            </w:r>
          </w:p>
          <w:p w14:paraId="70ED104A">
            <w:pPr>
              <w:spacing w:before="102" w:line="197" w:lineRule="auto"/>
              <w:ind w:left="702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spacing w:val="2"/>
                <w:sz w:val="20"/>
                <w:szCs w:val="20"/>
              </w:rPr>
              <w:t>意见</w:t>
            </w:r>
          </w:p>
        </w:tc>
        <w:tc>
          <w:tcPr>
            <w:tcW w:w="7317" w:type="dxa"/>
            <w:gridSpan w:val="5"/>
            <w:vAlign w:val="top"/>
          </w:tcPr>
          <w:p w14:paraId="4A9BC1A7">
            <w:pPr>
              <w:pStyle w:val="6"/>
              <w:spacing w:line="295" w:lineRule="auto"/>
            </w:pPr>
          </w:p>
          <w:p w14:paraId="732D6E0C">
            <w:pPr>
              <w:pStyle w:val="6"/>
              <w:spacing w:line="295" w:lineRule="auto"/>
            </w:pPr>
          </w:p>
          <w:p w14:paraId="2EBCBAE8">
            <w:pPr>
              <w:spacing w:before="91" w:line="177" w:lineRule="auto"/>
              <w:ind w:left="3681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spacing w:val="-1"/>
                <w:sz w:val="20"/>
                <w:szCs w:val="20"/>
              </w:rPr>
              <w:t>签章：</w:t>
            </w:r>
            <w:r>
              <w:rPr>
                <w:rFonts w:hint="eastAsia" w:ascii="PingFang SC" w:hAnsi="PingFang SC" w:eastAsia="PingFang SC" w:cs="PingFang SC"/>
                <w:spacing w:val="-1"/>
                <w:sz w:val="20"/>
                <w:szCs w:val="20"/>
                <w:lang w:val="en-US" w:eastAsia="zh-CN"/>
              </w:rPr>
              <w:t xml:space="preserve">            </w:t>
            </w:r>
            <w:r>
              <w:rPr>
                <w:rFonts w:ascii="PingFang SC" w:hAnsi="PingFang SC" w:eastAsia="PingFang SC" w:cs="PingFang SC"/>
                <w:spacing w:val="-1"/>
                <w:sz w:val="20"/>
                <w:szCs w:val="20"/>
              </w:rPr>
              <w:t>日期：</w:t>
            </w:r>
          </w:p>
        </w:tc>
      </w:tr>
      <w:tr w14:paraId="14F0E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801" w:type="dxa"/>
            <w:vAlign w:val="top"/>
          </w:tcPr>
          <w:p w14:paraId="13FBAF4B">
            <w:pPr>
              <w:spacing w:before="224" w:line="197" w:lineRule="auto"/>
              <w:ind w:left="277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spacing w:val="8"/>
                <w:sz w:val="20"/>
                <w:szCs w:val="20"/>
              </w:rPr>
              <w:t>职能管理部门</w:t>
            </w:r>
          </w:p>
          <w:p w14:paraId="6A757010">
            <w:pPr>
              <w:spacing w:before="102" w:line="197" w:lineRule="auto"/>
              <w:ind w:left="702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spacing w:val="2"/>
                <w:sz w:val="20"/>
                <w:szCs w:val="20"/>
              </w:rPr>
              <w:t>意见</w:t>
            </w:r>
          </w:p>
        </w:tc>
        <w:tc>
          <w:tcPr>
            <w:tcW w:w="7317" w:type="dxa"/>
            <w:gridSpan w:val="5"/>
            <w:vAlign w:val="top"/>
          </w:tcPr>
          <w:p w14:paraId="0A8C8097">
            <w:pPr>
              <w:pStyle w:val="6"/>
              <w:spacing w:line="297" w:lineRule="auto"/>
            </w:pPr>
          </w:p>
          <w:p w14:paraId="393EC592">
            <w:pPr>
              <w:pStyle w:val="6"/>
              <w:spacing w:line="297" w:lineRule="auto"/>
            </w:pPr>
          </w:p>
          <w:p w14:paraId="7D6CB74A">
            <w:pPr>
              <w:spacing w:before="91" w:line="175" w:lineRule="auto"/>
              <w:ind w:left="3681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spacing w:val="-1"/>
                <w:sz w:val="20"/>
                <w:szCs w:val="20"/>
              </w:rPr>
              <w:t>签章：</w:t>
            </w:r>
            <w:r>
              <w:rPr>
                <w:rFonts w:hint="eastAsia" w:ascii="PingFang SC" w:hAnsi="PingFang SC" w:eastAsia="PingFang SC" w:cs="PingFang SC"/>
                <w:spacing w:val="-1"/>
                <w:sz w:val="20"/>
                <w:szCs w:val="20"/>
                <w:lang w:val="en-US" w:eastAsia="zh-CN"/>
              </w:rPr>
              <w:t xml:space="preserve">            </w:t>
            </w:r>
            <w:r>
              <w:rPr>
                <w:rFonts w:ascii="PingFang SC" w:hAnsi="PingFang SC" w:eastAsia="PingFang SC" w:cs="PingFang SC"/>
                <w:spacing w:val="-1"/>
                <w:sz w:val="20"/>
                <w:szCs w:val="20"/>
              </w:rPr>
              <w:t>日期：</w:t>
            </w:r>
          </w:p>
        </w:tc>
      </w:tr>
      <w:tr w14:paraId="09B09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801" w:type="dxa"/>
            <w:vAlign w:val="top"/>
          </w:tcPr>
          <w:p w14:paraId="4AC1ACE1">
            <w:pPr>
              <w:spacing w:before="222" w:line="241" w:lineRule="auto"/>
              <w:ind w:left="702" w:right="163" w:hanging="529"/>
              <w:jc w:val="center"/>
              <w:rPr>
                <w:rFonts w:hint="default" w:ascii="PingFang SC" w:hAnsi="PingFang SC" w:eastAsia="PingFang SC" w:cs="PingFang SC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spacing w:val="8"/>
                <w:sz w:val="20"/>
                <w:szCs w:val="20"/>
                <w:lang w:val="en-US" w:eastAsia="zh-CN"/>
              </w:rPr>
              <w:t>财务处意见</w:t>
            </w:r>
          </w:p>
        </w:tc>
        <w:tc>
          <w:tcPr>
            <w:tcW w:w="7317" w:type="dxa"/>
            <w:gridSpan w:val="5"/>
            <w:vAlign w:val="top"/>
          </w:tcPr>
          <w:p w14:paraId="4E962E6B">
            <w:pPr>
              <w:spacing w:before="91" w:line="175" w:lineRule="auto"/>
              <w:ind w:left="3681"/>
              <w:rPr>
                <w:rFonts w:ascii="PingFang SC" w:hAnsi="PingFang SC" w:eastAsia="PingFang SC" w:cs="PingFang SC"/>
                <w:spacing w:val="-1"/>
                <w:sz w:val="20"/>
                <w:szCs w:val="20"/>
              </w:rPr>
            </w:pPr>
          </w:p>
        </w:tc>
      </w:tr>
      <w:tr w14:paraId="0165F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801" w:type="dxa"/>
            <w:vAlign w:val="top"/>
          </w:tcPr>
          <w:p w14:paraId="549224FD">
            <w:pPr>
              <w:spacing w:before="222" w:line="241" w:lineRule="auto"/>
              <w:ind w:left="702" w:right="163" w:hanging="529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spacing w:val="8"/>
                <w:sz w:val="20"/>
                <w:szCs w:val="20"/>
              </w:rPr>
              <w:t>后勤分管</w:t>
            </w:r>
            <w:r>
              <w:rPr>
                <w:rFonts w:hint="eastAsia" w:ascii="PingFang SC" w:hAnsi="PingFang SC" w:eastAsia="PingFang SC" w:cs="PingFang SC"/>
                <w:spacing w:val="8"/>
                <w:sz w:val="20"/>
                <w:szCs w:val="20"/>
                <w:lang w:val="en-US" w:eastAsia="zh-CN"/>
              </w:rPr>
              <w:t>院</w:t>
            </w:r>
            <w:r>
              <w:rPr>
                <w:rFonts w:ascii="PingFang SC" w:hAnsi="PingFang SC" w:eastAsia="PingFang SC" w:cs="PingFang SC"/>
                <w:spacing w:val="8"/>
                <w:sz w:val="20"/>
                <w:szCs w:val="20"/>
              </w:rPr>
              <w:t>领导</w:t>
            </w:r>
            <w:r>
              <w:rPr>
                <w:rFonts w:ascii="PingFang SC" w:hAnsi="PingFang SC" w:eastAsia="PingFang SC" w:cs="PingFang SC"/>
                <w:spacing w:val="2"/>
                <w:sz w:val="20"/>
                <w:szCs w:val="20"/>
              </w:rPr>
              <w:t>意见</w:t>
            </w:r>
          </w:p>
        </w:tc>
        <w:tc>
          <w:tcPr>
            <w:tcW w:w="7317" w:type="dxa"/>
            <w:gridSpan w:val="5"/>
            <w:vAlign w:val="top"/>
          </w:tcPr>
          <w:p w14:paraId="460CBBA1">
            <w:pPr>
              <w:pStyle w:val="6"/>
              <w:spacing w:line="296" w:lineRule="auto"/>
            </w:pPr>
          </w:p>
          <w:p w14:paraId="271A6CC1">
            <w:pPr>
              <w:pStyle w:val="6"/>
              <w:spacing w:line="297" w:lineRule="auto"/>
            </w:pPr>
          </w:p>
          <w:p w14:paraId="614D9399">
            <w:pPr>
              <w:spacing w:before="91" w:line="175" w:lineRule="auto"/>
              <w:ind w:left="3681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spacing w:val="-1"/>
                <w:sz w:val="20"/>
                <w:szCs w:val="20"/>
              </w:rPr>
              <w:t>签章：</w:t>
            </w:r>
            <w:r>
              <w:rPr>
                <w:rFonts w:hint="eastAsia" w:ascii="PingFang SC" w:hAnsi="PingFang SC" w:eastAsia="PingFang SC" w:cs="PingFang SC"/>
                <w:spacing w:val="-1"/>
                <w:sz w:val="20"/>
                <w:szCs w:val="20"/>
                <w:lang w:val="en-US" w:eastAsia="zh-CN"/>
              </w:rPr>
              <w:t xml:space="preserve">            </w:t>
            </w:r>
            <w:r>
              <w:rPr>
                <w:rFonts w:ascii="PingFang SC" w:hAnsi="PingFang SC" w:eastAsia="PingFang SC" w:cs="PingFang SC"/>
                <w:spacing w:val="-1"/>
                <w:sz w:val="20"/>
                <w:szCs w:val="20"/>
              </w:rPr>
              <w:t>日期：</w:t>
            </w:r>
          </w:p>
        </w:tc>
      </w:tr>
      <w:tr w14:paraId="02654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801" w:type="dxa"/>
            <w:vAlign w:val="top"/>
          </w:tcPr>
          <w:p w14:paraId="22D182C3">
            <w:pPr>
              <w:pStyle w:val="6"/>
              <w:spacing w:line="332" w:lineRule="auto"/>
            </w:pPr>
          </w:p>
          <w:p w14:paraId="490BE3C7">
            <w:pPr>
              <w:spacing w:before="91" w:line="197" w:lineRule="auto"/>
              <w:ind w:left="486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hint="eastAsia" w:ascii="PingFang SC" w:hAnsi="PingFang SC" w:eastAsia="PingFang SC" w:cs="PingFang SC"/>
                <w:spacing w:val="7"/>
                <w:sz w:val="20"/>
                <w:szCs w:val="20"/>
                <w:lang w:val="en-US" w:eastAsia="zh-CN"/>
              </w:rPr>
              <w:t>院长</w:t>
            </w:r>
            <w:r>
              <w:rPr>
                <w:rFonts w:ascii="PingFang SC" w:hAnsi="PingFang SC" w:eastAsia="PingFang SC" w:cs="PingFang SC"/>
                <w:spacing w:val="7"/>
                <w:sz w:val="20"/>
                <w:szCs w:val="20"/>
              </w:rPr>
              <w:t>意见</w:t>
            </w:r>
          </w:p>
        </w:tc>
        <w:tc>
          <w:tcPr>
            <w:tcW w:w="7317" w:type="dxa"/>
            <w:gridSpan w:val="5"/>
            <w:vAlign w:val="top"/>
          </w:tcPr>
          <w:p w14:paraId="37C9123C">
            <w:pPr>
              <w:pStyle w:val="6"/>
              <w:spacing w:line="297" w:lineRule="auto"/>
            </w:pPr>
          </w:p>
          <w:p w14:paraId="729AEFD9">
            <w:pPr>
              <w:pStyle w:val="6"/>
              <w:spacing w:line="298" w:lineRule="auto"/>
            </w:pPr>
          </w:p>
          <w:p w14:paraId="7D4ED160">
            <w:pPr>
              <w:spacing w:before="91" w:line="176" w:lineRule="auto"/>
              <w:ind w:left="3681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spacing w:val="-1"/>
                <w:sz w:val="20"/>
                <w:szCs w:val="20"/>
              </w:rPr>
              <w:t>签章：</w:t>
            </w:r>
            <w:r>
              <w:rPr>
                <w:rFonts w:hint="eastAsia" w:ascii="PingFang SC" w:hAnsi="PingFang SC" w:eastAsia="PingFang SC" w:cs="PingFang SC"/>
                <w:spacing w:val="-1"/>
                <w:sz w:val="20"/>
                <w:szCs w:val="20"/>
                <w:lang w:val="en-US" w:eastAsia="zh-CN"/>
              </w:rPr>
              <w:t xml:space="preserve">            </w:t>
            </w:r>
            <w:r>
              <w:rPr>
                <w:rFonts w:ascii="PingFang SC" w:hAnsi="PingFang SC" w:eastAsia="PingFang SC" w:cs="PingFang SC"/>
                <w:spacing w:val="-1"/>
                <w:sz w:val="20"/>
                <w:szCs w:val="20"/>
              </w:rPr>
              <w:t>日期：</w:t>
            </w:r>
          </w:p>
        </w:tc>
      </w:tr>
      <w:tr w14:paraId="7BBB9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9" w:hRule="atLeast"/>
          <w:jc w:val="center"/>
        </w:trPr>
        <w:tc>
          <w:tcPr>
            <w:tcW w:w="1801" w:type="dxa"/>
            <w:vAlign w:val="top"/>
          </w:tcPr>
          <w:p w14:paraId="4580E982">
            <w:pPr>
              <w:pStyle w:val="6"/>
              <w:spacing w:line="271" w:lineRule="auto"/>
            </w:pPr>
          </w:p>
          <w:p w14:paraId="569136AF">
            <w:pPr>
              <w:pStyle w:val="6"/>
              <w:spacing w:line="271" w:lineRule="auto"/>
            </w:pPr>
          </w:p>
          <w:p w14:paraId="1C429376">
            <w:pPr>
              <w:pStyle w:val="6"/>
              <w:spacing w:line="271" w:lineRule="auto"/>
            </w:pPr>
          </w:p>
          <w:p w14:paraId="7BE52E81">
            <w:pPr>
              <w:pStyle w:val="6"/>
              <w:spacing w:line="271" w:lineRule="auto"/>
            </w:pPr>
          </w:p>
          <w:p w14:paraId="3F8DD6FD">
            <w:pPr>
              <w:pStyle w:val="6"/>
              <w:spacing w:line="272" w:lineRule="auto"/>
            </w:pPr>
          </w:p>
          <w:p w14:paraId="51F6D31B">
            <w:pPr>
              <w:spacing w:before="91" w:line="197" w:lineRule="auto"/>
              <w:ind w:left="746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spacing w:val="3"/>
                <w:sz w:val="20"/>
                <w:szCs w:val="20"/>
              </w:rPr>
              <w:t>填表</w:t>
            </w:r>
          </w:p>
          <w:p w14:paraId="1FE76BFF">
            <w:pPr>
              <w:spacing w:before="102" w:line="197" w:lineRule="auto"/>
              <w:ind w:left="747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spacing w:val="3"/>
                <w:sz w:val="20"/>
                <w:szCs w:val="20"/>
              </w:rPr>
              <w:t>说明</w:t>
            </w:r>
          </w:p>
        </w:tc>
        <w:tc>
          <w:tcPr>
            <w:tcW w:w="7317" w:type="dxa"/>
            <w:gridSpan w:val="5"/>
            <w:vAlign w:val="top"/>
          </w:tcPr>
          <w:p w14:paraId="52754F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5" w:right="108" w:firstLine="13"/>
              <w:textAlignment w:val="baseline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.限额修缮项目的审批，由需求部门提供项目初步需求方案，经后勤管理处审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核并确定预算金额后按相关程序报批，报批时应附相应的图纸及项目预算文件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（后勤管理处提供）。</w:t>
            </w:r>
          </w:p>
          <w:p w14:paraId="380CC0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1" w:hanging="3"/>
              <w:textAlignment w:val="baseline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</w:rPr>
              <w:t>2.申请使用本部门经费及后勤修缮经费开展的修缮项目，“经费归口部门意见”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一栏无需填写，申请使用非本部门经费、非后勤修缮经费开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展的项目，需由相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应的经费归口部门签字确认。</w:t>
            </w:r>
          </w:p>
          <w:p w14:paraId="20AD8E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2" w:right="172" w:hanging="9"/>
              <w:textAlignment w:val="baseline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3.涉及职能部门业务管辖范围的修缮项目，如实训室、教室内部装修改造等，需经职能部门签字确认。</w:t>
            </w:r>
          </w:p>
          <w:p w14:paraId="66B2F9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1" w:right="122" w:hanging="14"/>
              <w:textAlignment w:val="baseline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4.限额小型修缮项目经后勤管理处负责人审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批后实施，限额中、大型修缮项目需经后勤分管校领导审批后实施。</w:t>
            </w:r>
          </w:p>
          <w:p w14:paraId="774BD3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1" w:right="110" w:firstLine="1"/>
              <w:textAlignment w:val="baseline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5.本表适用于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修缮项目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>的立项审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批。</w:t>
            </w:r>
          </w:p>
        </w:tc>
      </w:tr>
    </w:tbl>
    <w:p w14:paraId="092643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A0876"/>
    <w:rsid w:val="40A65ACA"/>
    <w:rsid w:val="6C8A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2025-07-04T13:55:00Z</dcterms:created>
  <dc:creator>WPS_1664162863</dc:creator>
  <cp:lastModifiedBy>WPS_1664162863</cp:lastModifiedBy>
  <dcterms:modified xsi:type="dcterms:W3CDTF">2025-07-04T13:55:41Z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9519274A26364D58BE6421026029A5CE_11</vt:lpwstr>
  </property>
  <property fmtid="{D5CDD505-2E9C-101B-9397-08002B2CF9AE}" pid="4" name="KSOTemplateDocerSaveRecord">
    <vt:lpwstr>eyJoZGlkIjoiNDYwOTQ5NjY2M2U1MDRlZmNkOTJhYWFkYzZhNmM4OTUiLCJ1c2VySWQiOiIxNDEzNTA0NDU1In0=</vt:lpwstr>
  </property>
</Properties>
</file>