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color w:val="auto"/>
          <w:sz w:val="32"/>
          <w:szCs w:val="32"/>
        </w:rPr>
      </w:pPr>
      <w:bookmarkStart w:id="0" w:name="_GoBack"/>
      <w:r>
        <w:rPr>
          <w:rFonts w:hint="eastAsia"/>
          <w:b/>
          <w:bCs/>
          <w:color w:val="auto"/>
          <w:sz w:val="32"/>
          <w:szCs w:val="32"/>
          <w:lang w:eastAsia="zh-Hans"/>
        </w:rPr>
        <w:t>福州英华职业学院</w:t>
      </w:r>
      <w:r>
        <w:rPr>
          <w:rFonts w:hint="eastAsia"/>
          <w:b/>
          <w:bCs/>
          <w:color w:val="auto"/>
          <w:sz w:val="32"/>
          <w:szCs w:val="32"/>
        </w:rPr>
        <w:t>学生学业预警及帮扶机制实施办法</w:t>
      </w:r>
    </w:p>
    <w:p>
      <w:pPr>
        <w:jc w:val="center"/>
        <w:rPr>
          <w:color w:val="auto"/>
          <w:sz w:val="32"/>
          <w:szCs w:val="32"/>
          <w:lang w:eastAsia="zh-Hans"/>
        </w:rPr>
      </w:pPr>
      <w:r>
        <w:rPr>
          <w:rFonts w:hint="eastAsia"/>
          <w:b/>
          <w:bCs/>
          <w:color w:val="auto"/>
          <w:sz w:val="32"/>
          <w:szCs w:val="32"/>
          <w:lang w:eastAsia="zh-Hans"/>
        </w:rPr>
        <w:t>（修订）</w:t>
      </w:r>
    </w:p>
    <w:p>
      <w:pPr>
        <w:jc w:val="lef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</w:t>
      </w:r>
      <w:r>
        <w:rPr>
          <w:rFonts w:hint="eastAsia"/>
          <w:color w:val="auto"/>
          <w:sz w:val="28"/>
          <w:szCs w:val="28"/>
        </w:rPr>
        <w:t>第一条 为进一步加强学校学风建设，强化学生学习过程管理，充分发挥学校的主导作用、学生的主体作用、家庭的督促作用，帮助学生顺利完成学业，确保人才培养质量，根据《</w:t>
      </w:r>
      <w:r>
        <w:rPr>
          <w:rFonts w:hint="eastAsia"/>
          <w:color w:val="auto"/>
          <w:sz w:val="28"/>
          <w:szCs w:val="28"/>
          <w:lang w:eastAsia="zh-Hans"/>
        </w:rPr>
        <w:t>福州英华职业学院学生学籍管理规定</w:t>
      </w:r>
      <w:r>
        <w:rPr>
          <w:rFonts w:hint="eastAsia"/>
          <w:color w:val="auto"/>
          <w:sz w:val="28"/>
          <w:szCs w:val="28"/>
        </w:rPr>
        <w:t>》</w:t>
      </w:r>
      <w:r>
        <w:rPr>
          <w:rFonts w:hint="eastAsia"/>
          <w:color w:val="auto"/>
          <w:sz w:val="28"/>
          <w:szCs w:val="28"/>
          <w:lang w:eastAsia="zh-Hans"/>
        </w:rPr>
        <w:t>等</w:t>
      </w:r>
      <w:r>
        <w:rPr>
          <w:rFonts w:hint="eastAsia"/>
          <w:color w:val="auto"/>
          <w:sz w:val="28"/>
          <w:szCs w:val="28"/>
        </w:rPr>
        <w:t>有关要求，结合学校实际，特制定本办法。</w:t>
      </w:r>
    </w:p>
    <w:p>
      <w:pPr>
        <w:jc w:val="lef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</w:t>
      </w:r>
      <w:r>
        <w:rPr>
          <w:rFonts w:hint="eastAsia"/>
          <w:color w:val="auto"/>
          <w:sz w:val="28"/>
          <w:szCs w:val="28"/>
        </w:rPr>
        <w:t>第二条 学业预警是指学校依据学籍管理</w:t>
      </w:r>
      <w:r>
        <w:rPr>
          <w:rFonts w:hint="eastAsia"/>
          <w:color w:val="auto"/>
          <w:sz w:val="28"/>
          <w:szCs w:val="28"/>
          <w:lang w:eastAsia="zh-Hans"/>
        </w:rPr>
        <w:t>规定</w:t>
      </w:r>
      <w:r>
        <w:rPr>
          <w:rFonts w:hint="eastAsia"/>
          <w:color w:val="auto"/>
          <w:sz w:val="28"/>
          <w:szCs w:val="28"/>
        </w:rPr>
        <w:t>、专业人才培养方案</w:t>
      </w:r>
      <w:r>
        <w:rPr>
          <w:rFonts w:hint="eastAsia"/>
          <w:color w:val="auto"/>
          <w:sz w:val="28"/>
          <w:szCs w:val="28"/>
          <w:lang w:eastAsia="zh-Hans"/>
        </w:rPr>
        <w:t>等要求</w:t>
      </w:r>
      <w:r>
        <w:rPr>
          <w:rFonts w:hint="eastAsia"/>
          <w:color w:val="auto"/>
          <w:sz w:val="28"/>
          <w:szCs w:val="28"/>
        </w:rPr>
        <w:t>，通过对学生每学期的</w:t>
      </w:r>
      <w:r>
        <w:rPr>
          <w:rFonts w:hint="eastAsia"/>
          <w:color w:val="auto"/>
          <w:sz w:val="28"/>
          <w:szCs w:val="28"/>
          <w:lang w:eastAsia="zh-Hans"/>
        </w:rPr>
        <w:t>出勤及</w:t>
      </w:r>
      <w:r>
        <w:rPr>
          <w:rFonts w:hint="eastAsia"/>
          <w:color w:val="auto"/>
          <w:sz w:val="28"/>
          <w:szCs w:val="28"/>
        </w:rPr>
        <w:t>学习情况进行分析，对可能或已经发生</w:t>
      </w:r>
      <w:r>
        <w:rPr>
          <w:rFonts w:hint="eastAsia"/>
          <w:color w:val="auto"/>
          <w:sz w:val="28"/>
          <w:szCs w:val="28"/>
          <w:lang w:eastAsia="zh-Hans"/>
        </w:rPr>
        <w:t>缺勤及</w:t>
      </w:r>
      <w:r>
        <w:rPr>
          <w:rFonts w:hint="eastAsia"/>
          <w:color w:val="auto"/>
          <w:sz w:val="28"/>
          <w:szCs w:val="28"/>
        </w:rPr>
        <w:t>学习问题、或完成学业困难的学生进行警示，告知学生本人及家长可能产生的不良后果，并针对性地采取相应补救和帮扶措施，帮助学生顺利完成学业的一种制度。</w:t>
      </w:r>
    </w:p>
    <w:p>
      <w:pPr>
        <w:jc w:val="lef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</w:t>
      </w:r>
      <w:r>
        <w:rPr>
          <w:rFonts w:hint="eastAsia"/>
          <w:color w:val="auto"/>
          <w:sz w:val="28"/>
          <w:szCs w:val="28"/>
        </w:rPr>
        <w:t>第三条 学业预警分为</w:t>
      </w:r>
      <w:r>
        <w:rPr>
          <w:rFonts w:hint="eastAsia"/>
          <w:color w:val="auto"/>
          <w:sz w:val="28"/>
          <w:szCs w:val="28"/>
          <w:lang w:val="en-US" w:eastAsia="zh-Hans"/>
        </w:rPr>
        <w:t>四</w:t>
      </w:r>
      <w:r>
        <w:rPr>
          <w:rFonts w:hint="eastAsia"/>
          <w:color w:val="auto"/>
          <w:sz w:val="28"/>
          <w:szCs w:val="28"/>
        </w:rPr>
        <w:t>级，预警程度由低到高依次为：</w:t>
      </w:r>
      <w:r>
        <w:rPr>
          <w:rFonts w:hint="eastAsia"/>
          <w:color w:val="auto"/>
          <w:sz w:val="28"/>
          <w:szCs w:val="28"/>
          <w:lang w:val="en-US" w:eastAsia="zh-Hans"/>
        </w:rPr>
        <w:t>四</w:t>
      </w:r>
      <w:r>
        <w:rPr>
          <w:rFonts w:hint="eastAsia"/>
          <w:color w:val="auto"/>
          <w:sz w:val="28"/>
          <w:szCs w:val="28"/>
        </w:rPr>
        <w:t>级预警、</w:t>
      </w:r>
      <w:r>
        <w:rPr>
          <w:rFonts w:hint="eastAsia"/>
          <w:color w:val="auto"/>
          <w:sz w:val="28"/>
          <w:szCs w:val="28"/>
          <w:lang w:val="en-US" w:eastAsia="zh-Hans"/>
        </w:rPr>
        <w:t>三</w:t>
      </w:r>
      <w:r>
        <w:rPr>
          <w:rFonts w:hint="eastAsia"/>
          <w:color w:val="auto"/>
          <w:sz w:val="28"/>
          <w:szCs w:val="28"/>
        </w:rPr>
        <w:t>级预警、</w:t>
      </w:r>
      <w:r>
        <w:rPr>
          <w:rFonts w:hint="eastAsia"/>
          <w:color w:val="auto"/>
          <w:sz w:val="28"/>
          <w:szCs w:val="28"/>
          <w:lang w:val="en-US" w:eastAsia="zh-Hans"/>
        </w:rPr>
        <w:t>二</w:t>
      </w:r>
      <w:r>
        <w:rPr>
          <w:rFonts w:hint="eastAsia"/>
          <w:color w:val="auto"/>
          <w:sz w:val="28"/>
          <w:szCs w:val="28"/>
        </w:rPr>
        <w:t>级预警</w:t>
      </w:r>
      <w:r>
        <w:rPr>
          <w:rFonts w:hint="eastAsia"/>
          <w:color w:val="auto"/>
          <w:sz w:val="28"/>
          <w:szCs w:val="28"/>
          <w:lang w:eastAsia="zh-Hans"/>
        </w:rPr>
        <w:t>、</w:t>
      </w:r>
      <w:r>
        <w:rPr>
          <w:rFonts w:hint="eastAsia"/>
          <w:color w:val="auto"/>
          <w:sz w:val="28"/>
          <w:szCs w:val="28"/>
          <w:lang w:val="en-US" w:eastAsia="zh-Hans"/>
        </w:rPr>
        <w:t>一级预警</w:t>
      </w:r>
      <w:r>
        <w:rPr>
          <w:rFonts w:hint="eastAsia"/>
          <w:color w:val="auto"/>
          <w:sz w:val="28"/>
          <w:szCs w:val="28"/>
        </w:rPr>
        <w:t>。学业预警工作按学期进行，每学期第</w:t>
      </w:r>
      <w:r>
        <w:rPr>
          <w:color w:val="auto"/>
          <w:sz w:val="28"/>
          <w:szCs w:val="28"/>
        </w:rPr>
        <w:t>2</w:t>
      </w:r>
      <w:r>
        <w:rPr>
          <w:rFonts w:hint="eastAsia"/>
          <w:color w:val="auto"/>
          <w:sz w:val="28"/>
          <w:szCs w:val="28"/>
        </w:rPr>
        <w:t>周由各</w:t>
      </w:r>
      <w:r>
        <w:rPr>
          <w:rFonts w:hint="eastAsia"/>
          <w:color w:val="auto"/>
          <w:sz w:val="28"/>
          <w:szCs w:val="28"/>
          <w:lang w:eastAsia="zh-Hans"/>
        </w:rPr>
        <w:t>系</w:t>
      </w:r>
      <w:r>
        <w:rPr>
          <w:rFonts w:hint="eastAsia"/>
          <w:color w:val="auto"/>
          <w:sz w:val="28"/>
          <w:szCs w:val="28"/>
        </w:rPr>
        <w:t>根据在读学生学业</w:t>
      </w:r>
      <w:r>
        <w:rPr>
          <w:rFonts w:hint="eastAsia"/>
          <w:color w:val="auto"/>
          <w:sz w:val="28"/>
          <w:szCs w:val="28"/>
          <w:lang w:val="en-US" w:eastAsia="zh-Hans"/>
        </w:rPr>
        <w:t>和出勤</w:t>
      </w:r>
      <w:r>
        <w:rPr>
          <w:rFonts w:hint="eastAsia"/>
          <w:color w:val="auto"/>
          <w:sz w:val="28"/>
          <w:szCs w:val="28"/>
        </w:rPr>
        <w:t>情况，采取相应预警办法。</w:t>
      </w:r>
    </w:p>
    <w:p>
      <w:pPr>
        <w:ind w:firstLine="560"/>
        <w:jc w:val="left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  <w:lang w:val="en-US" w:eastAsia="zh-Hans"/>
        </w:rPr>
        <w:t>四</w:t>
      </w:r>
      <w:r>
        <w:rPr>
          <w:rFonts w:hint="eastAsia"/>
          <w:color w:val="auto"/>
          <w:sz w:val="28"/>
          <w:szCs w:val="28"/>
        </w:rPr>
        <w:t>级预警：学生上一学期实修学分不足该学期应修总学分的四分之三时</w:t>
      </w:r>
      <w:r>
        <w:rPr>
          <w:rFonts w:hint="eastAsia"/>
          <w:color w:val="auto"/>
          <w:sz w:val="28"/>
          <w:szCs w:val="28"/>
          <w:lang w:eastAsia="zh-Hans"/>
        </w:rPr>
        <w:t>；当学期学生累计旷课节数</w:t>
      </w:r>
      <w:r>
        <w:rPr>
          <w:rFonts w:ascii="Arial" w:hAnsi="Arial" w:cs="Arial"/>
          <w:color w:val="auto"/>
          <w:sz w:val="28"/>
          <w:szCs w:val="28"/>
          <w:lang w:eastAsia="zh-Hans"/>
        </w:rPr>
        <w:t>≥</w:t>
      </w:r>
      <w:r>
        <w:rPr>
          <w:rFonts w:ascii="宋体" w:hAnsi="宋体" w:eastAsia="宋体" w:cs="宋体"/>
          <w:color w:val="auto"/>
          <w:sz w:val="28"/>
          <w:szCs w:val="28"/>
          <w:lang w:eastAsia="zh-Hans"/>
        </w:rPr>
        <w:t>8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Hans"/>
        </w:rPr>
        <w:t>节</w:t>
      </w:r>
      <w:r>
        <w:rPr>
          <w:rFonts w:hint="eastAsia"/>
          <w:color w:val="auto"/>
          <w:sz w:val="28"/>
          <w:szCs w:val="28"/>
        </w:rPr>
        <w:t>。</w:t>
      </w:r>
      <w:r>
        <w:rPr>
          <w:color w:val="auto"/>
          <w:sz w:val="28"/>
          <w:szCs w:val="28"/>
        </w:rPr>
        <w:t xml:space="preserve">    </w:t>
      </w:r>
    </w:p>
    <w:p>
      <w:pPr>
        <w:ind w:firstLine="560"/>
        <w:jc w:val="left"/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  <w:lang w:val="en-US" w:eastAsia="zh-Hans"/>
        </w:rPr>
        <w:t>三</w:t>
      </w:r>
      <w:r>
        <w:rPr>
          <w:rFonts w:hint="eastAsia"/>
          <w:color w:val="auto"/>
          <w:sz w:val="28"/>
          <w:szCs w:val="28"/>
        </w:rPr>
        <w:t>级预警：学生上一学期实修学分不足该学期应修总学分的三分之二时</w:t>
      </w:r>
      <w:r>
        <w:rPr>
          <w:rFonts w:hint="eastAsia"/>
          <w:color w:val="auto"/>
          <w:sz w:val="28"/>
          <w:szCs w:val="28"/>
          <w:lang w:eastAsia="zh-Hans"/>
        </w:rPr>
        <w:t>；当学期学生累计旷课节数</w:t>
      </w:r>
      <w:r>
        <w:rPr>
          <w:rFonts w:ascii="Arial" w:hAnsi="Arial" w:cs="Arial"/>
          <w:color w:val="auto"/>
          <w:sz w:val="28"/>
          <w:szCs w:val="28"/>
          <w:lang w:eastAsia="zh-Hans"/>
        </w:rPr>
        <w:t>≥</w:t>
      </w:r>
      <w:r>
        <w:rPr>
          <w:color w:val="auto"/>
          <w:sz w:val="28"/>
          <w:szCs w:val="28"/>
          <w:lang w:eastAsia="zh-Hans"/>
        </w:rPr>
        <w:t>16</w:t>
      </w:r>
      <w:r>
        <w:rPr>
          <w:rFonts w:hint="eastAsia"/>
          <w:color w:val="auto"/>
          <w:sz w:val="28"/>
          <w:szCs w:val="28"/>
          <w:lang w:eastAsia="zh-Hans"/>
        </w:rPr>
        <w:t>节</w:t>
      </w:r>
      <w:r>
        <w:rPr>
          <w:rFonts w:hint="eastAsia"/>
          <w:color w:val="auto"/>
          <w:sz w:val="28"/>
          <w:szCs w:val="28"/>
        </w:rPr>
        <w:t>。</w:t>
      </w:r>
    </w:p>
    <w:p>
      <w:pPr>
        <w:ind w:firstLine="560"/>
        <w:jc w:val="left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  <w:lang w:val="en-US" w:eastAsia="zh-Hans"/>
        </w:rPr>
        <w:t>三级、四级</w:t>
      </w:r>
      <w:r>
        <w:rPr>
          <w:rFonts w:hint="eastAsia"/>
          <w:color w:val="auto"/>
          <w:sz w:val="28"/>
          <w:szCs w:val="28"/>
        </w:rPr>
        <w:t>预警办法：</w:t>
      </w:r>
      <w:r>
        <w:rPr>
          <w:rFonts w:hint="eastAsia"/>
          <w:color w:val="auto"/>
          <w:sz w:val="28"/>
          <w:szCs w:val="28"/>
          <w:lang w:eastAsia="zh-Hans"/>
        </w:rPr>
        <w:t>各系</w:t>
      </w:r>
      <w:r>
        <w:rPr>
          <w:rFonts w:hint="eastAsia"/>
          <w:color w:val="auto"/>
          <w:sz w:val="28"/>
          <w:szCs w:val="28"/>
        </w:rPr>
        <w:t>给学生下达学业预警通知，通知家长，对学生进行警示教育；指导学生制定有关课程学习计划；对计划执行情况进行跟踪、评估，并向家长反馈。</w:t>
      </w:r>
    </w:p>
    <w:p>
      <w:pPr>
        <w:ind w:firstLine="560"/>
        <w:jc w:val="left"/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  <w:lang w:val="en-US" w:eastAsia="zh-Hans"/>
        </w:rPr>
        <w:t>二</w:t>
      </w:r>
      <w:r>
        <w:rPr>
          <w:rFonts w:hint="eastAsia"/>
          <w:color w:val="auto"/>
          <w:sz w:val="28"/>
          <w:szCs w:val="28"/>
        </w:rPr>
        <w:t>级预警：学生上一学期实修学分不足该学期应修总学分的二分之一时</w:t>
      </w:r>
      <w:r>
        <w:rPr>
          <w:rFonts w:hint="eastAsia"/>
          <w:color w:val="auto"/>
          <w:sz w:val="28"/>
          <w:szCs w:val="28"/>
          <w:lang w:eastAsia="zh-Hans"/>
        </w:rPr>
        <w:t>；当学期学生累计旷课节数</w:t>
      </w:r>
      <w:r>
        <w:rPr>
          <w:rFonts w:ascii="Arial" w:hAnsi="Arial" w:cs="Arial"/>
          <w:color w:val="auto"/>
          <w:sz w:val="28"/>
          <w:szCs w:val="28"/>
          <w:lang w:eastAsia="zh-Hans"/>
        </w:rPr>
        <w:t>≥</w:t>
      </w:r>
      <w:r>
        <w:rPr>
          <w:color w:val="auto"/>
          <w:sz w:val="28"/>
          <w:szCs w:val="28"/>
          <w:lang w:eastAsia="zh-Hans"/>
        </w:rPr>
        <w:t>24</w:t>
      </w:r>
      <w:r>
        <w:rPr>
          <w:rFonts w:hint="eastAsia"/>
          <w:color w:val="auto"/>
          <w:sz w:val="28"/>
          <w:szCs w:val="28"/>
          <w:lang w:eastAsia="zh-Hans"/>
        </w:rPr>
        <w:t>节</w:t>
      </w:r>
      <w:r>
        <w:rPr>
          <w:rFonts w:hint="eastAsia"/>
          <w:color w:val="auto"/>
          <w:sz w:val="28"/>
          <w:szCs w:val="28"/>
        </w:rPr>
        <w:t>。</w:t>
      </w:r>
    </w:p>
    <w:p>
      <w:pPr>
        <w:ind w:firstLine="560"/>
        <w:jc w:val="left"/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  <w:lang w:val="en-US" w:eastAsia="zh-Hans"/>
        </w:rPr>
        <w:t>一</w:t>
      </w:r>
      <w:r>
        <w:rPr>
          <w:rFonts w:hint="eastAsia"/>
          <w:color w:val="auto"/>
          <w:sz w:val="28"/>
          <w:szCs w:val="28"/>
        </w:rPr>
        <w:t>级预警：学生上一学期实修学分不足该学期应修总学分的</w:t>
      </w:r>
      <w:r>
        <w:rPr>
          <w:rFonts w:hint="eastAsia"/>
          <w:color w:val="auto"/>
          <w:sz w:val="28"/>
          <w:szCs w:val="28"/>
          <w:lang w:val="en-US" w:eastAsia="zh-Hans"/>
        </w:rPr>
        <w:t>三</w:t>
      </w:r>
      <w:r>
        <w:rPr>
          <w:rFonts w:hint="eastAsia"/>
          <w:color w:val="auto"/>
          <w:sz w:val="28"/>
          <w:szCs w:val="28"/>
        </w:rPr>
        <w:t>分之一时；当学期学生累计旷课节数≥</w:t>
      </w:r>
      <w:r>
        <w:rPr>
          <w:rFonts w:hint="default"/>
          <w:color w:val="auto"/>
          <w:sz w:val="28"/>
          <w:szCs w:val="28"/>
        </w:rPr>
        <w:t>32</w:t>
      </w:r>
      <w:r>
        <w:rPr>
          <w:rFonts w:hint="eastAsia"/>
          <w:color w:val="auto"/>
          <w:sz w:val="28"/>
          <w:szCs w:val="28"/>
        </w:rPr>
        <w:t>节。</w:t>
      </w:r>
    </w:p>
    <w:p>
      <w:pPr>
        <w:ind w:firstLine="560"/>
        <w:jc w:val="left"/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  <w:lang w:val="en-US" w:eastAsia="zh-Hans"/>
        </w:rPr>
        <w:t>一级、二级</w:t>
      </w:r>
      <w:r>
        <w:rPr>
          <w:rFonts w:hint="eastAsia"/>
          <w:color w:val="auto"/>
          <w:sz w:val="28"/>
          <w:szCs w:val="28"/>
        </w:rPr>
        <w:t>预警办法：各系给学生下达学业预警通知，系通知家长面谈，对学生进行警示教育；指导学生制定有关课程学习计划；对计划执行情况进行跟踪、评估，并向家长反馈。</w:t>
      </w:r>
    </w:p>
    <w:p>
      <w:pPr>
        <w:ind w:firstLine="560"/>
        <w:jc w:val="left"/>
        <w:rPr>
          <w:rFonts w:hint="default" w:eastAsiaTheme="minorEastAsia"/>
          <w:color w:val="auto"/>
          <w:sz w:val="28"/>
          <w:szCs w:val="28"/>
          <w:lang w:val="en-US" w:eastAsia="zh-Hans"/>
        </w:rPr>
      </w:pPr>
      <w:r>
        <w:rPr>
          <w:rFonts w:hint="eastAsia"/>
          <w:color w:val="auto"/>
          <w:sz w:val="28"/>
          <w:szCs w:val="28"/>
          <w:lang w:val="en-US" w:eastAsia="zh-Hans"/>
        </w:rPr>
        <w:t>第四条</w:t>
      </w:r>
      <w:r>
        <w:rPr>
          <w:rFonts w:hint="default"/>
          <w:color w:val="auto"/>
          <w:sz w:val="28"/>
          <w:szCs w:val="28"/>
          <w:lang w:eastAsia="zh-Hans"/>
        </w:rPr>
        <w:t xml:space="preserve"> </w:t>
      </w:r>
      <w:r>
        <w:rPr>
          <w:rFonts w:hint="eastAsia"/>
          <w:color w:val="auto"/>
          <w:sz w:val="28"/>
          <w:szCs w:val="28"/>
          <w:lang w:val="en-US" w:eastAsia="zh-Hans"/>
        </w:rPr>
        <w:t>当学生实修学分不足达到一定数量时，学校除了采取学业预警外，将按照《福州英华职业学院学生学籍管理规定（修订）》进行试读、留级直至退学等方式处理。</w:t>
      </w:r>
    </w:p>
    <w:p>
      <w:pPr>
        <w:jc w:val="lef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</w:t>
      </w:r>
      <w:r>
        <w:rPr>
          <w:rFonts w:hint="eastAsia"/>
          <w:color w:val="auto"/>
          <w:sz w:val="28"/>
          <w:szCs w:val="28"/>
        </w:rPr>
        <w:t>第</w:t>
      </w:r>
      <w:r>
        <w:rPr>
          <w:rFonts w:hint="eastAsia"/>
          <w:color w:val="auto"/>
          <w:sz w:val="28"/>
          <w:szCs w:val="28"/>
          <w:lang w:val="en-US" w:eastAsia="zh-Hans"/>
        </w:rPr>
        <w:t>五</w:t>
      </w:r>
      <w:r>
        <w:rPr>
          <w:rFonts w:hint="eastAsia"/>
          <w:color w:val="auto"/>
          <w:sz w:val="28"/>
          <w:szCs w:val="28"/>
        </w:rPr>
        <w:t>条 学校成立由教务处牵头、学生</w:t>
      </w:r>
      <w:r>
        <w:rPr>
          <w:rFonts w:hint="eastAsia"/>
          <w:color w:val="auto"/>
          <w:sz w:val="28"/>
          <w:szCs w:val="28"/>
          <w:lang w:eastAsia="zh-Hans"/>
        </w:rPr>
        <w:t>工作部</w:t>
      </w:r>
      <w:r>
        <w:rPr>
          <w:rFonts w:hint="eastAsia"/>
          <w:color w:val="auto"/>
          <w:sz w:val="28"/>
          <w:szCs w:val="28"/>
        </w:rPr>
        <w:t>等组成的工作组，负责全校学业预警工作的组织、协调、检查、督促。各</w:t>
      </w:r>
      <w:r>
        <w:rPr>
          <w:rFonts w:hint="eastAsia"/>
          <w:color w:val="auto"/>
          <w:sz w:val="28"/>
          <w:szCs w:val="28"/>
          <w:lang w:eastAsia="zh-Hans"/>
        </w:rPr>
        <w:t>系</w:t>
      </w:r>
      <w:r>
        <w:rPr>
          <w:rFonts w:hint="eastAsia"/>
          <w:color w:val="auto"/>
          <w:sz w:val="28"/>
          <w:szCs w:val="28"/>
        </w:rPr>
        <w:t>成立由分管</w:t>
      </w:r>
      <w:r>
        <w:rPr>
          <w:rFonts w:hint="eastAsia"/>
          <w:color w:val="auto"/>
          <w:sz w:val="28"/>
          <w:szCs w:val="28"/>
          <w:lang w:eastAsia="zh-Hans"/>
        </w:rPr>
        <w:t>教学副主任为组长的</w:t>
      </w:r>
      <w:r>
        <w:rPr>
          <w:rFonts w:hint="eastAsia"/>
          <w:color w:val="auto"/>
          <w:sz w:val="28"/>
          <w:szCs w:val="28"/>
        </w:rPr>
        <w:t>工作小组，具体负责本</w:t>
      </w:r>
      <w:r>
        <w:rPr>
          <w:rFonts w:hint="eastAsia"/>
          <w:color w:val="auto"/>
          <w:sz w:val="28"/>
          <w:szCs w:val="28"/>
          <w:lang w:eastAsia="zh-Hans"/>
        </w:rPr>
        <w:t>系</w:t>
      </w:r>
      <w:r>
        <w:rPr>
          <w:rFonts w:hint="eastAsia"/>
          <w:color w:val="auto"/>
          <w:sz w:val="28"/>
          <w:szCs w:val="28"/>
        </w:rPr>
        <w:t>学业预警工作。</w:t>
      </w:r>
    </w:p>
    <w:p>
      <w:pPr>
        <w:jc w:val="lef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第</w:t>
      </w:r>
      <w:r>
        <w:rPr>
          <w:rFonts w:hint="eastAsia"/>
          <w:color w:val="auto"/>
          <w:sz w:val="28"/>
          <w:szCs w:val="28"/>
          <w:lang w:val="en-US" w:eastAsia="zh-Hans"/>
        </w:rPr>
        <w:t>六</w:t>
      </w:r>
      <w:r>
        <w:rPr>
          <w:color w:val="auto"/>
          <w:sz w:val="28"/>
          <w:szCs w:val="28"/>
        </w:rPr>
        <w:t>条 学业预警工作程序</w:t>
      </w:r>
    </w:p>
    <w:p>
      <w:pPr>
        <w:ind w:firstLine="560" w:firstLineChars="200"/>
        <w:jc w:val="left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1.每学期第2周前，各</w:t>
      </w:r>
      <w:r>
        <w:rPr>
          <w:rFonts w:hint="eastAsia"/>
          <w:color w:val="auto"/>
          <w:sz w:val="28"/>
          <w:szCs w:val="28"/>
          <w:lang w:eastAsia="zh-Hans"/>
        </w:rPr>
        <w:t>系</w:t>
      </w:r>
      <w:r>
        <w:rPr>
          <w:rFonts w:hint="eastAsia"/>
          <w:color w:val="auto"/>
          <w:sz w:val="28"/>
          <w:szCs w:val="28"/>
        </w:rPr>
        <w:t>启动学业预警</w:t>
      </w:r>
      <w:r>
        <w:rPr>
          <w:rFonts w:hint="eastAsia"/>
          <w:color w:val="auto"/>
          <w:sz w:val="28"/>
          <w:szCs w:val="28"/>
          <w:lang w:eastAsia="zh-Hans"/>
        </w:rPr>
        <w:t>（上学期成绩）</w:t>
      </w:r>
      <w:r>
        <w:rPr>
          <w:rFonts w:hint="eastAsia"/>
          <w:color w:val="auto"/>
          <w:sz w:val="28"/>
          <w:szCs w:val="28"/>
        </w:rPr>
        <w:t>审查。</w:t>
      </w:r>
    </w:p>
    <w:p>
      <w:pPr>
        <w:ind w:firstLine="560" w:firstLineChars="200"/>
        <w:jc w:val="left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2.第2-4周，各</w:t>
      </w:r>
      <w:r>
        <w:rPr>
          <w:rFonts w:hint="eastAsia"/>
          <w:color w:val="auto"/>
          <w:sz w:val="28"/>
          <w:szCs w:val="28"/>
          <w:lang w:eastAsia="zh-Hans"/>
        </w:rPr>
        <w:t>系</w:t>
      </w:r>
      <w:r>
        <w:rPr>
          <w:rFonts w:hint="eastAsia"/>
          <w:color w:val="auto"/>
          <w:sz w:val="28"/>
          <w:szCs w:val="28"/>
        </w:rPr>
        <w:t>将《</w:t>
      </w:r>
      <w:r>
        <w:rPr>
          <w:color w:val="auto"/>
          <w:sz w:val="28"/>
          <w:szCs w:val="28"/>
        </w:rPr>
        <w:t>福州英华职业学院</w:t>
      </w:r>
      <w:r>
        <w:rPr>
          <w:rFonts w:hint="eastAsia"/>
          <w:color w:val="auto"/>
          <w:sz w:val="28"/>
          <w:szCs w:val="28"/>
        </w:rPr>
        <w:t>学生学业预警通知单》</w:t>
      </w:r>
      <w:r>
        <w:rPr>
          <w:rFonts w:hint="eastAsia"/>
          <w:color w:val="auto"/>
          <w:sz w:val="28"/>
          <w:szCs w:val="28"/>
          <w:lang w:eastAsia="zh-Hans"/>
        </w:rPr>
        <w:t>（附件</w:t>
      </w:r>
      <w:r>
        <w:rPr>
          <w:color w:val="auto"/>
          <w:sz w:val="28"/>
          <w:szCs w:val="28"/>
          <w:lang w:eastAsia="zh-Hans"/>
        </w:rPr>
        <w:t>1</w:t>
      </w:r>
      <w:r>
        <w:rPr>
          <w:rFonts w:hint="eastAsia"/>
          <w:color w:val="auto"/>
          <w:sz w:val="28"/>
          <w:szCs w:val="28"/>
          <w:lang w:eastAsia="zh-Hans"/>
        </w:rPr>
        <w:t>）</w:t>
      </w:r>
      <w:r>
        <w:rPr>
          <w:rFonts w:hint="eastAsia"/>
          <w:color w:val="auto"/>
          <w:sz w:val="28"/>
          <w:szCs w:val="28"/>
        </w:rPr>
        <w:t>，加盖</w:t>
      </w:r>
      <w:r>
        <w:rPr>
          <w:rFonts w:hint="eastAsia"/>
          <w:color w:val="auto"/>
          <w:sz w:val="28"/>
          <w:szCs w:val="28"/>
          <w:lang w:eastAsia="zh-Hans"/>
        </w:rPr>
        <w:t>系</w:t>
      </w:r>
      <w:r>
        <w:rPr>
          <w:rFonts w:hint="eastAsia"/>
          <w:color w:val="auto"/>
          <w:sz w:val="28"/>
          <w:szCs w:val="28"/>
        </w:rPr>
        <w:t>公章后，送至被预警学生本人签收，并将学生学业情况通知学生家长。</w:t>
      </w:r>
    </w:p>
    <w:p>
      <w:pPr>
        <w:ind w:firstLine="560" w:firstLineChars="200"/>
        <w:jc w:val="left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3.第5周，</w:t>
      </w:r>
      <w:r>
        <w:rPr>
          <w:rFonts w:hint="eastAsia"/>
          <w:color w:val="auto"/>
          <w:sz w:val="28"/>
          <w:szCs w:val="28"/>
          <w:lang w:eastAsia="zh-Hans"/>
        </w:rPr>
        <w:t>各系</w:t>
      </w:r>
      <w:r>
        <w:rPr>
          <w:rFonts w:hint="eastAsia"/>
          <w:color w:val="auto"/>
          <w:sz w:val="28"/>
          <w:szCs w:val="28"/>
        </w:rPr>
        <w:t>填写《</w:t>
      </w:r>
      <w:r>
        <w:rPr>
          <w:color w:val="auto"/>
          <w:sz w:val="28"/>
          <w:szCs w:val="28"/>
        </w:rPr>
        <w:t>福州英华职业学院</w:t>
      </w:r>
      <w:r>
        <w:rPr>
          <w:rFonts w:hint="eastAsia"/>
          <w:color w:val="auto"/>
          <w:sz w:val="28"/>
          <w:szCs w:val="28"/>
        </w:rPr>
        <w:t>学生学业预警处理结果汇总表》</w:t>
      </w:r>
      <w:r>
        <w:rPr>
          <w:rFonts w:hint="eastAsia"/>
          <w:color w:val="auto"/>
          <w:sz w:val="28"/>
          <w:szCs w:val="28"/>
          <w:lang w:eastAsia="zh-Hans"/>
        </w:rPr>
        <w:t>（附件</w:t>
      </w:r>
      <w:r>
        <w:rPr>
          <w:color w:val="auto"/>
          <w:sz w:val="28"/>
          <w:szCs w:val="28"/>
          <w:lang w:eastAsia="zh-Hans"/>
        </w:rPr>
        <w:t>2</w:t>
      </w:r>
      <w:r>
        <w:rPr>
          <w:rFonts w:hint="eastAsia"/>
          <w:color w:val="auto"/>
          <w:sz w:val="28"/>
          <w:szCs w:val="28"/>
          <w:lang w:eastAsia="zh-Hans"/>
        </w:rPr>
        <w:t>）</w:t>
      </w:r>
      <w:r>
        <w:rPr>
          <w:rFonts w:hint="eastAsia"/>
          <w:color w:val="auto"/>
          <w:sz w:val="28"/>
          <w:szCs w:val="28"/>
        </w:rPr>
        <w:t>，经分管教学工作的</w:t>
      </w:r>
      <w:r>
        <w:rPr>
          <w:rFonts w:hint="eastAsia"/>
          <w:color w:val="auto"/>
          <w:sz w:val="28"/>
          <w:szCs w:val="28"/>
          <w:lang w:eastAsia="zh-Hans"/>
        </w:rPr>
        <w:t>系副主任</w:t>
      </w:r>
      <w:r>
        <w:rPr>
          <w:rFonts w:hint="eastAsia"/>
          <w:color w:val="auto"/>
          <w:sz w:val="28"/>
          <w:szCs w:val="28"/>
        </w:rPr>
        <w:t>审核签字并加盖</w:t>
      </w:r>
      <w:r>
        <w:rPr>
          <w:rFonts w:hint="eastAsia"/>
          <w:color w:val="auto"/>
          <w:sz w:val="28"/>
          <w:szCs w:val="28"/>
          <w:lang w:eastAsia="zh-Hans"/>
        </w:rPr>
        <w:t>系</w:t>
      </w:r>
      <w:r>
        <w:rPr>
          <w:rFonts w:hint="eastAsia"/>
          <w:color w:val="auto"/>
          <w:sz w:val="28"/>
          <w:szCs w:val="28"/>
        </w:rPr>
        <w:t>公章后，报教务处备案。</w:t>
      </w:r>
    </w:p>
    <w:p>
      <w:pPr>
        <w:ind w:firstLine="560" w:firstLineChars="200"/>
        <w:jc w:val="left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4. 当学期旷课预警时间不作具体规定，根据每月统计学生考勤情况，一旦学生出现符合旷课预警条件的情况时，应及时预警</w:t>
      </w:r>
      <w:r>
        <w:rPr>
          <w:rFonts w:hint="eastAsia"/>
          <w:color w:val="auto"/>
          <w:sz w:val="28"/>
          <w:szCs w:val="28"/>
          <w:lang w:eastAsia="zh-Hans"/>
        </w:rPr>
        <w:t>，下达预警通知单</w:t>
      </w:r>
      <w:r>
        <w:rPr>
          <w:rFonts w:hint="eastAsia"/>
          <w:color w:val="auto"/>
          <w:sz w:val="28"/>
          <w:szCs w:val="28"/>
        </w:rPr>
        <w:t>。</w:t>
      </w:r>
    </w:p>
    <w:p>
      <w:pPr>
        <w:ind w:firstLine="560" w:firstLineChars="200"/>
        <w:jc w:val="left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第</w:t>
      </w:r>
      <w:r>
        <w:rPr>
          <w:rFonts w:hint="eastAsia"/>
          <w:color w:val="auto"/>
          <w:sz w:val="28"/>
          <w:szCs w:val="28"/>
          <w:lang w:val="en-US" w:eastAsia="zh-Hans"/>
        </w:rPr>
        <w:t>七</w:t>
      </w:r>
      <w:r>
        <w:rPr>
          <w:rFonts w:hint="eastAsia"/>
          <w:color w:val="auto"/>
          <w:sz w:val="28"/>
          <w:szCs w:val="28"/>
        </w:rPr>
        <w:t>条  学业帮扶机制</w:t>
      </w:r>
    </w:p>
    <w:p>
      <w:pPr>
        <w:ind w:firstLine="560" w:firstLineChars="200"/>
        <w:jc w:val="left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（一）学业帮扶机制是指</w:t>
      </w:r>
      <w:r>
        <w:rPr>
          <w:rFonts w:hint="eastAsia"/>
          <w:color w:val="auto"/>
          <w:sz w:val="28"/>
          <w:szCs w:val="28"/>
          <w:lang w:eastAsia="zh-Hans"/>
        </w:rPr>
        <w:t>学校</w:t>
      </w:r>
      <w:r>
        <w:rPr>
          <w:rFonts w:hint="eastAsia"/>
          <w:color w:val="auto"/>
          <w:sz w:val="28"/>
          <w:szCs w:val="28"/>
        </w:rPr>
        <w:t>采取针对性措施对被预警学生的学业情况进行全面分析、指导以及帮扶的制度。</w:t>
      </w:r>
    </w:p>
    <w:p>
      <w:pPr>
        <w:ind w:firstLine="560" w:firstLineChars="200"/>
        <w:jc w:val="left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 xml:space="preserve">（二）学业帮扶措施 </w:t>
      </w:r>
    </w:p>
    <w:p>
      <w:pPr>
        <w:ind w:firstLine="560" w:firstLineChars="200"/>
        <w:jc w:val="left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1.</w:t>
      </w:r>
      <w:r>
        <w:rPr>
          <w:rFonts w:hint="eastAsia"/>
          <w:color w:val="auto"/>
          <w:sz w:val="28"/>
          <w:szCs w:val="28"/>
          <w:lang w:eastAsia="zh-Hans"/>
        </w:rPr>
        <w:t>各系</w:t>
      </w:r>
      <w:r>
        <w:rPr>
          <w:rFonts w:hint="eastAsia"/>
          <w:color w:val="auto"/>
          <w:sz w:val="28"/>
          <w:szCs w:val="28"/>
        </w:rPr>
        <w:t>成立由分管教学工作的</w:t>
      </w:r>
      <w:r>
        <w:rPr>
          <w:rFonts w:hint="eastAsia"/>
          <w:color w:val="auto"/>
          <w:sz w:val="28"/>
          <w:szCs w:val="28"/>
          <w:lang w:eastAsia="zh-Hans"/>
        </w:rPr>
        <w:t>系副主任</w:t>
      </w:r>
      <w:r>
        <w:rPr>
          <w:rFonts w:hint="eastAsia"/>
          <w:color w:val="auto"/>
          <w:sz w:val="28"/>
          <w:szCs w:val="28"/>
        </w:rPr>
        <w:t>任组长</w:t>
      </w:r>
      <w:r>
        <w:rPr>
          <w:rFonts w:hint="eastAsia"/>
          <w:color w:val="auto"/>
          <w:sz w:val="28"/>
          <w:szCs w:val="28"/>
          <w:lang w:eastAsia="zh-Hans"/>
        </w:rPr>
        <w:t>，学生党支部书记、</w:t>
      </w:r>
      <w:r>
        <w:rPr>
          <w:rFonts w:hint="eastAsia"/>
          <w:color w:val="auto"/>
          <w:sz w:val="28"/>
          <w:szCs w:val="28"/>
        </w:rPr>
        <w:t>辅导员等为组员的学业帮扶工作小组，全面负责对本</w:t>
      </w:r>
      <w:r>
        <w:rPr>
          <w:rFonts w:hint="eastAsia"/>
          <w:color w:val="auto"/>
          <w:sz w:val="28"/>
          <w:szCs w:val="28"/>
          <w:lang w:eastAsia="zh-Hans"/>
        </w:rPr>
        <w:t>系</w:t>
      </w:r>
      <w:r>
        <w:rPr>
          <w:rFonts w:hint="eastAsia"/>
          <w:color w:val="auto"/>
          <w:sz w:val="28"/>
          <w:szCs w:val="28"/>
        </w:rPr>
        <w:t>预警学生进行学业帮扶。</w:t>
      </w:r>
    </w:p>
    <w:p>
      <w:pPr>
        <w:ind w:firstLine="560" w:firstLineChars="200"/>
        <w:jc w:val="left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2.学业帮扶工作小组各成员应分工明确、密切配合。采取有效的针对性措施，及时约谈被预警学生，认真分析其学业落后的具体原因，与学生共同制定学业提升计划。被预警学生的辅导员须采取多种形式与学生保持沟通和交流，及时掌握学生学习、生活及心理活动。在学生遇到困难时，学业帮扶工作小组成员应及时与学生沟通，为学生提供必要的指导和帮助。</w:t>
      </w:r>
    </w:p>
    <w:p>
      <w:pPr>
        <w:ind w:firstLine="560" w:firstLineChars="200"/>
        <w:jc w:val="left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3.</w:t>
      </w:r>
      <w:r>
        <w:rPr>
          <w:rFonts w:hint="eastAsia"/>
          <w:color w:val="auto"/>
          <w:sz w:val="28"/>
          <w:szCs w:val="28"/>
          <w:lang w:eastAsia="zh-Hans"/>
        </w:rPr>
        <w:t>各系</w:t>
      </w:r>
      <w:r>
        <w:rPr>
          <w:rFonts w:hint="eastAsia"/>
          <w:color w:val="auto"/>
          <w:sz w:val="28"/>
          <w:szCs w:val="28"/>
        </w:rPr>
        <w:t>须建立学业预警学生帮扶档案，详细记录帮扶的全过程，并将《</w:t>
      </w:r>
      <w:r>
        <w:rPr>
          <w:color w:val="auto"/>
          <w:sz w:val="28"/>
          <w:szCs w:val="28"/>
        </w:rPr>
        <w:t>福州英华职业学院</w:t>
      </w:r>
      <w:r>
        <w:rPr>
          <w:rFonts w:hint="eastAsia"/>
          <w:color w:val="auto"/>
          <w:sz w:val="28"/>
          <w:szCs w:val="28"/>
        </w:rPr>
        <w:t>学生学业预警通知单》、每次约谈的《</w:t>
      </w:r>
      <w:r>
        <w:rPr>
          <w:color w:val="auto"/>
          <w:sz w:val="28"/>
          <w:szCs w:val="28"/>
        </w:rPr>
        <w:t>福州英华职业学院</w:t>
      </w:r>
      <w:r>
        <w:rPr>
          <w:rFonts w:hint="eastAsia"/>
          <w:color w:val="auto"/>
          <w:sz w:val="28"/>
          <w:szCs w:val="28"/>
        </w:rPr>
        <w:t>学生学业预警帮扶谈话记录表》</w:t>
      </w:r>
      <w:r>
        <w:rPr>
          <w:rFonts w:hint="eastAsia"/>
          <w:color w:val="auto"/>
          <w:sz w:val="28"/>
          <w:szCs w:val="28"/>
          <w:lang w:eastAsia="zh-Hans"/>
        </w:rPr>
        <w:t>（附件</w:t>
      </w:r>
      <w:r>
        <w:rPr>
          <w:color w:val="auto"/>
          <w:sz w:val="28"/>
          <w:szCs w:val="28"/>
          <w:lang w:eastAsia="zh-Hans"/>
        </w:rPr>
        <w:t>3</w:t>
      </w:r>
      <w:r>
        <w:rPr>
          <w:rFonts w:hint="eastAsia"/>
          <w:color w:val="auto"/>
          <w:sz w:val="28"/>
          <w:szCs w:val="28"/>
          <w:lang w:eastAsia="zh-Hans"/>
        </w:rPr>
        <w:t>）</w:t>
      </w:r>
      <w:r>
        <w:rPr>
          <w:rFonts w:hint="eastAsia"/>
          <w:color w:val="auto"/>
          <w:sz w:val="28"/>
          <w:szCs w:val="28"/>
        </w:rPr>
        <w:t>、学生成绩单等相关资料存入被预警学生帮扶档案中。</w:t>
      </w:r>
    </w:p>
    <w:p>
      <w:pPr>
        <w:ind w:firstLine="560" w:firstLineChars="200"/>
        <w:jc w:val="left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4.学校将不定期对</w:t>
      </w:r>
      <w:r>
        <w:rPr>
          <w:rFonts w:hint="eastAsia"/>
          <w:color w:val="auto"/>
          <w:sz w:val="28"/>
          <w:szCs w:val="28"/>
          <w:lang w:eastAsia="zh-Hans"/>
        </w:rPr>
        <w:t>各系</w:t>
      </w:r>
      <w:r>
        <w:rPr>
          <w:rFonts w:hint="eastAsia"/>
          <w:color w:val="auto"/>
          <w:sz w:val="28"/>
          <w:szCs w:val="28"/>
        </w:rPr>
        <w:t>的学业帮扶工作情况进行监督和检查。对学业帮扶记录不完整、帮扶措施不到位、帮扶效果不理想的</w:t>
      </w:r>
      <w:r>
        <w:rPr>
          <w:rFonts w:hint="eastAsia"/>
          <w:color w:val="auto"/>
          <w:sz w:val="28"/>
          <w:szCs w:val="28"/>
          <w:lang w:eastAsia="zh-Hans"/>
        </w:rPr>
        <w:t>系</w:t>
      </w:r>
      <w:r>
        <w:rPr>
          <w:rFonts w:hint="eastAsia"/>
          <w:color w:val="auto"/>
          <w:sz w:val="28"/>
          <w:szCs w:val="28"/>
        </w:rPr>
        <w:t>给予指正，并限期整改。</w:t>
      </w:r>
    </w:p>
    <w:p>
      <w:pPr>
        <w:ind w:firstLine="560" w:firstLineChars="200"/>
        <w:jc w:val="left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第</w:t>
      </w:r>
      <w:r>
        <w:rPr>
          <w:rFonts w:hint="eastAsia"/>
          <w:color w:val="auto"/>
          <w:sz w:val="28"/>
          <w:szCs w:val="28"/>
          <w:lang w:val="en-US" w:eastAsia="zh-Hans"/>
        </w:rPr>
        <w:t>八</w:t>
      </w:r>
      <w:r>
        <w:rPr>
          <w:rFonts w:hint="eastAsia"/>
          <w:color w:val="auto"/>
          <w:sz w:val="28"/>
          <w:szCs w:val="28"/>
        </w:rPr>
        <w:t xml:space="preserve">条  本办法适用于学校普通全日制学生。 </w:t>
      </w:r>
    </w:p>
    <w:p>
      <w:pPr>
        <w:ind w:firstLine="560" w:firstLineChars="200"/>
        <w:jc w:val="left"/>
        <w:rPr>
          <w:color w:val="auto"/>
          <w:sz w:val="28"/>
          <w:szCs w:val="28"/>
          <w:lang w:eastAsia="zh-Hans"/>
        </w:rPr>
      </w:pPr>
      <w:r>
        <w:rPr>
          <w:rFonts w:hint="eastAsia"/>
          <w:color w:val="auto"/>
          <w:sz w:val="28"/>
          <w:szCs w:val="28"/>
        </w:rPr>
        <w:t>第</w:t>
      </w:r>
      <w:r>
        <w:rPr>
          <w:rFonts w:hint="eastAsia"/>
          <w:color w:val="auto"/>
          <w:sz w:val="28"/>
          <w:szCs w:val="28"/>
          <w:lang w:val="en-US" w:eastAsia="zh-Hans"/>
        </w:rPr>
        <w:t>九</w:t>
      </w:r>
      <w:r>
        <w:rPr>
          <w:rFonts w:hint="eastAsia"/>
          <w:color w:val="auto"/>
          <w:sz w:val="28"/>
          <w:szCs w:val="28"/>
        </w:rPr>
        <w:t>条  本办法自发布之日起施行，</w:t>
      </w:r>
      <w:r>
        <w:rPr>
          <w:rFonts w:hint="eastAsia"/>
          <w:color w:val="auto"/>
          <w:sz w:val="28"/>
          <w:szCs w:val="28"/>
          <w:lang w:eastAsia="zh-Hans"/>
        </w:rPr>
        <w:t>《福州英华职业学院学生出勤及学习成绩预警制度（试行）》（英华教学〔 2016 〕6 号）同时废止。</w:t>
      </w:r>
    </w:p>
    <w:p>
      <w:pPr>
        <w:jc w:val="left"/>
        <w:rPr>
          <w:color w:val="auto"/>
          <w:sz w:val="28"/>
          <w:szCs w:val="28"/>
          <w:lang w:eastAsia="zh-Hans"/>
        </w:rPr>
      </w:pPr>
      <w:r>
        <w:rPr>
          <w:color w:val="auto"/>
          <w:sz w:val="28"/>
          <w:szCs w:val="28"/>
        </w:rPr>
        <w:t xml:space="preserve">    </w:t>
      </w:r>
      <w:r>
        <w:rPr>
          <w:rFonts w:hint="eastAsia"/>
          <w:color w:val="auto"/>
          <w:sz w:val="28"/>
          <w:szCs w:val="28"/>
          <w:lang w:eastAsia="zh-Hans"/>
        </w:rPr>
        <w:t>第</w:t>
      </w:r>
      <w:r>
        <w:rPr>
          <w:rFonts w:hint="eastAsia"/>
          <w:color w:val="auto"/>
          <w:sz w:val="28"/>
          <w:szCs w:val="28"/>
          <w:lang w:val="en-US" w:eastAsia="zh-Hans"/>
        </w:rPr>
        <w:t>十</w:t>
      </w:r>
      <w:r>
        <w:rPr>
          <w:rFonts w:hint="eastAsia"/>
          <w:color w:val="auto"/>
          <w:sz w:val="28"/>
          <w:szCs w:val="28"/>
          <w:lang w:eastAsia="zh-Hans"/>
        </w:rPr>
        <w:t>条</w:t>
      </w:r>
      <w:r>
        <w:rPr>
          <w:color w:val="auto"/>
          <w:sz w:val="28"/>
          <w:szCs w:val="28"/>
          <w:lang w:eastAsia="zh-Hans"/>
        </w:rPr>
        <w:t xml:space="preserve">  </w:t>
      </w:r>
      <w:r>
        <w:rPr>
          <w:rFonts w:hint="eastAsia"/>
          <w:color w:val="auto"/>
          <w:sz w:val="28"/>
          <w:szCs w:val="28"/>
          <w:lang w:eastAsia="zh-Hans"/>
        </w:rPr>
        <w:t>本办法</w:t>
      </w:r>
      <w:r>
        <w:rPr>
          <w:color w:val="auto"/>
          <w:sz w:val="28"/>
          <w:szCs w:val="28"/>
          <w:lang w:eastAsia="zh-Hans"/>
        </w:rPr>
        <w:t>由教务处负责解释。</w:t>
      </w:r>
    </w:p>
    <w:p>
      <w:pPr>
        <w:jc w:val="left"/>
        <w:rPr>
          <w:rFonts w:hint="eastAsia"/>
          <w:color w:val="auto"/>
          <w:sz w:val="28"/>
          <w:szCs w:val="28"/>
        </w:rPr>
      </w:pPr>
    </w:p>
    <w:p>
      <w:pPr>
        <w:jc w:val="left"/>
        <w:rPr>
          <w:rFonts w:hint="eastAsia"/>
          <w:color w:val="auto"/>
          <w:sz w:val="28"/>
          <w:szCs w:val="28"/>
        </w:rPr>
      </w:pPr>
    </w:p>
    <w:p>
      <w:pPr>
        <w:jc w:val="left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附件：</w:t>
      </w:r>
    </w:p>
    <w:p>
      <w:pPr>
        <w:ind w:firstLine="560" w:firstLineChars="200"/>
        <w:jc w:val="left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1．</w:t>
      </w:r>
      <w:r>
        <w:rPr>
          <w:color w:val="auto"/>
          <w:sz w:val="28"/>
          <w:szCs w:val="28"/>
        </w:rPr>
        <w:t>福州英华职业学院</w:t>
      </w:r>
      <w:r>
        <w:rPr>
          <w:rFonts w:hint="eastAsia"/>
          <w:color w:val="auto"/>
          <w:sz w:val="28"/>
          <w:szCs w:val="28"/>
        </w:rPr>
        <w:t>学生学业预警通知单</w:t>
      </w:r>
    </w:p>
    <w:p>
      <w:pPr>
        <w:ind w:firstLine="560" w:firstLineChars="200"/>
        <w:jc w:val="left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2．</w:t>
      </w:r>
      <w:r>
        <w:rPr>
          <w:color w:val="auto"/>
          <w:sz w:val="28"/>
          <w:szCs w:val="28"/>
        </w:rPr>
        <w:t>福州英华职业学院</w:t>
      </w:r>
      <w:r>
        <w:rPr>
          <w:rFonts w:hint="eastAsia"/>
          <w:color w:val="auto"/>
          <w:sz w:val="28"/>
          <w:szCs w:val="28"/>
        </w:rPr>
        <w:t>学生学业预警处理结果汇总表</w:t>
      </w:r>
    </w:p>
    <w:p>
      <w:pPr>
        <w:ind w:firstLine="560" w:firstLineChars="200"/>
        <w:jc w:val="left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3．</w:t>
      </w:r>
      <w:r>
        <w:rPr>
          <w:color w:val="auto"/>
          <w:sz w:val="28"/>
          <w:szCs w:val="28"/>
        </w:rPr>
        <w:t>福州英华职业学院</w:t>
      </w:r>
      <w:r>
        <w:rPr>
          <w:rFonts w:hint="eastAsia"/>
          <w:color w:val="auto"/>
          <w:sz w:val="28"/>
          <w:szCs w:val="28"/>
        </w:rPr>
        <w:t>学生学业预警帮扶谈话记录表</w:t>
      </w:r>
    </w:p>
    <w:p>
      <w:pPr>
        <w:spacing w:after="156" w:afterLines="50"/>
        <w:rPr>
          <w:rFonts w:hint="eastAsia" w:ascii="方正黑体_GBK" w:hAnsi="方正黑体_GBK" w:eastAsia="方正黑体_GBK" w:cs="方正黑体_GBK"/>
          <w:bCs/>
          <w:color w:val="auto"/>
          <w:sz w:val="32"/>
          <w:szCs w:val="32"/>
        </w:rPr>
      </w:pPr>
      <w:r>
        <w:rPr>
          <w:rFonts w:ascii="方正仿宋_GBK" w:hAnsi="Calibri" w:eastAsia="方正仿宋_GBK" w:cs="Cordia New"/>
          <w:color w:val="auto"/>
          <w:sz w:val="32"/>
          <w:szCs w:val="22"/>
        </w:rPr>
        <w:br w:type="page"/>
      </w:r>
      <w:r>
        <w:rPr>
          <w:rFonts w:hint="eastAsia" w:ascii="方正黑体_GBK" w:hAnsi="方正黑体_GBK" w:eastAsia="方正黑体_GBK" w:cs="方正黑体_GBK"/>
          <w:bCs/>
          <w:color w:val="auto"/>
          <w:sz w:val="32"/>
          <w:szCs w:val="32"/>
        </w:rPr>
        <w:t>附件1</w:t>
      </w:r>
    </w:p>
    <w:p>
      <w:pPr>
        <w:jc w:val="center"/>
        <w:rPr>
          <w:rFonts w:hint="eastAsia" w:ascii="方正小标宋_GBK" w:hAnsi="方正小标宋_GBK" w:eastAsia="方正小标宋_GBK" w:cs="方正小标宋_GBK"/>
          <w:bCs/>
          <w:color w:val="auto"/>
          <w:sz w:val="36"/>
          <w:szCs w:val="36"/>
        </w:rPr>
      </w:pPr>
      <w:r>
        <w:rPr>
          <w:rFonts w:ascii="方正小标宋_GBK" w:hAnsi="方正小标宋_GBK" w:eastAsia="方正小标宋_GBK" w:cs="方正小标宋_GBK"/>
          <w:bCs/>
          <w:color w:val="auto"/>
          <w:sz w:val="36"/>
          <w:szCs w:val="36"/>
        </w:rPr>
        <w:t>福州英华职业学院</w:t>
      </w:r>
      <w:r>
        <w:rPr>
          <w:rFonts w:hint="eastAsia" w:ascii="方正小标宋_GBK" w:hAnsi="方正小标宋_GBK" w:eastAsia="方正小标宋_GBK" w:cs="方正小标宋_GBK"/>
          <w:bCs/>
          <w:color w:val="auto"/>
          <w:sz w:val="36"/>
          <w:szCs w:val="36"/>
        </w:rPr>
        <w:t>学生学业预警通知单</w:t>
      </w:r>
    </w:p>
    <w:tbl>
      <w:tblPr>
        <w:tblStyle w:val="3"/>
        <w:tblW w:w="105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"/>
        <w:gridCol w:w="829"/>
        <w:gridCol w:w="1293"/>
        <w:gridCol w:w="224"/>
        <w:gridCol w:w="931"/>
        <w:gridCol w:w="874"/>
        <w:gridCol w:w="1657"/>
        <w:gridCol w:w="532"/>
        <w:gridCol w:w="843"/>
        <w:gridCol w:w="754"/>
        <w:gridCol w:w="1743"/>
      </w:tblGrid>
      <w:tr>
        <w:trPr>
          <w:trHeight w:val="608" w:hRule="atLeast"/>
          <w:jc w:val="center"/>
        </w:trPr>
        <w:tc>
          <w:tcPr>
            <w:tcW w:w="172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姓名</w:t>
            </w:r>
          </w:p>
        </w:tc>
        <w:tc>
          <w:tcPr>
            <w:tcW w:w="1517" w:type="dxa"/>
            <w:gridSpan w:val="2"/>
            <w:vAlign w:val="center"/>
          </w:tcPr>
          <w:p>
            <w:pPr>
              <w:spacing w:line="240" w:lineRule="atLeast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</w:p>
        </w:tc>
        <w:tc>
          <w:tcPr>
            <w:tcW w:w="931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学号</w:t>
            </w:r>
          </w:p>
        </w:tc>
        <w:tc>
          <w:tcPr>
            <w:tcW w:w="3063" w:type="dxa"/>
            <w:gridSpan w:val="3"/>
            <w:vAlign w:val="center"/>
          </w:tcPr>
          <w:p>
            <w:pPr>
              <w:spacing w:line="240" w:lineRule="atLeast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</w:p>
        </w:tc>
        <w:tc>
          <w:tcPr>
            <w:tcW w:w="843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性别</w:t>
            </w:r>
          </w:p>
        </w:tc>
        <w:tc>
          <w:tcPr>
            <w:tcW w:w="2497" w:type="dxa"/>
            <w:gridSpan w:val="2"/>
            <w:vAlign w:val="center"/>
          </w:tcPr>
          <w:p>
            <w:pPr>
              <w:spacing w:line="240" w:lineRule="atLeast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</w:p>
        </w:tc>
      </w:tr>
      <w:tr>
        <w:trPr>
          <w:trHeight w:val="604" w:hRule="atLeast"/>
          <w:jc w:val="center"/>
        </w:trPr>
        <w:tc>
          <w:tcPr>
            <w:tcW w:w="172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年级</w:t>
            </w:r>
          </w:p>
        </w:tc>
        <w:tc>
          <w:tcPr>
            <w:tcW w:w="1517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</w:p>
        </w:tc>
        <w:tc>
          <w:tcPr>
            <w:tcW w:w="931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专业</w:t>
            </w:r>
          </w:p>
        </w:tc>
        <w:tc>
          <w:tcPr>
            <w:tcW w:w="3063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</w:p>
        </w:tc>
        <w:tc>
          <w:tcPr>
            <w:tcW w:w="843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联系电话</w:t>
            </w:r>
          </w:p>
        </w:tc>
        <w:tc>
          <w:tcPr>
            <w:tcW w:w="2497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</w:p>
        </w:tc>
      </w:tr>
      <w:tr>
        <w:trPr>
          <w:cantSplit/>
          <w:trHeight w:val="560" w:hRule="atLeast"/>
          <w:jc w:val="center"/>
        </w:trPr>
        <w:tc>
          <w:tcPr>
            <w:tcW w:w="172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预警学期</w:t>
            </w:r>
          </w:p>
        </w:tc>
        <w:tc>
          <w:tcPr>
            <w:tcW w:w="8851" w:type="dxa"/>
            <w:gridSpan w:val="9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20</w:t>
            </w:r>
            <w:r>
              <w:rPr>
                <w:rFonts w:hint="eastAsia" w:ascii="宋体" w:hAnsi="宋体" w:eastAsia="宋体" w:cs="宋体"/>
                <w:bCs/>
                <w:color w:val="auto"/>
                <w:szCs w:val="21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-20</w:t>
            </w:r>
            <w:r>
              <w:rPr>
                <w:rFonts w:hint="eastAsia" w:ascii="宋体" w:hAnsi="宋体" w:eastAsia="宋体" w:cs="宋体"/>
                <w:bCs/>
                <w:color w:val="auto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学年</w:t>
            </w:r>
            <w:r>
              <w:rPr>
                <w:rFonts w:hint="eastAsia" w:ascii="宋体" w:hAnsi="宋体" w:eastAsia="宋体" w:cs="宋体"/>
                <w:bCs/>
                <w:color w:val="auto"/>
                <w:szCs w:val="21"/>
                <w:lang w:eastAsia="zh-Hans"/>
              </w:rPr>
              <w:t>第</w:t>
            </w:r>
            <w:r>
              <w:rPr>
                <w:rFonts w:ascii="宋体" w:hAnsi="宋体" w:eastAsia="宋体" w:cs="宋体"/>
                <w:bCs/>
                <w:color w:val="auto"/>
                <w:szCs w:val="21"/>
                <w:u w:val="single"/>
                <w:lang w:eastAsia="zh-Hans"/>
              </w:rPr>
              <w:t xml:space="preserve">       </w:t>
            </w:r>
            <w:r>
              <w:rPr>
                <w:rFonts w:hint="eastAsia" w:ascii="宋体" w:hAnsi="宋体" w:eastAsia="宋体" w:cs="宋体"/>
                <w:bCs/>
                <w:color w:val="auto"/>
                <w:szCs w:val="21"/>
                <w:lang w:eastAsia="zh-Hans"/>
              </w:rPr>
              <w:t>学期</w:t>
            </w:r>
          </w:p>
        </w:tc>
      </w:tr>
      <w:tr>
        <w:trPr>
          <w:cantSplit/>
          <w:trHeight w:val="560" w:hRule="atLeast"/>
          <w:jc w:val="center"/>
        </w:trPr>
        <w:tc>
          <w:tcPr>
            <w:tcW w:w="172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  <w:lang w:eastAsia="zh-Hans"/>
              </w:rPr>
              <w:t>上学期应修学分</w:t>
            </w:r>
          </w:p>
        </w:tc>
        <w:tc>
          <w:tcPr>
            <w:tcW w:w="1293" w:type="dxa"/>
            <w:vAlign w:val="center"/>
          </w:tcPr>
          <w:p>
            <w:pPr>
              <w:spacing w:line="240" w:lineRule="atLeast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</w:p>
        </w:tc>
        <w:tc>
          <w:tcPr>
            <w:tcW w:w="2029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  <w:lang w:eastAsia="zh-Hans"/>
              </w:rPr>
              <w:t>上学期实修学分</w:t>
            </w:r>
          </w:p>
        </w:tc>
        <w:tc>
          <w:tcPr>
            <w:tcW w:w="1657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Cs w:val="21"/>
                <w:lang w:eastAsia="zh-Hans"/>
              </w:rPr>
            </w:pPr>
          </w:p>
        </w:tc>
        <w:tc>
          <w:tcPr>
            <w:tcW w:w="2129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  <w:lang w:eastAsia="zh-Hans"/>
              </w:rPr>
              <w:t>当学期累计旷课节数</w:t>
            </w:r>
          </w:p>
        </w:tc>
        <w:tc>
          <w:tcPr>
            <w:tcW w:w="1743" w:type="dxa"/>
            <w:vAlign w:val="center"/>
          </w:tcPr>
          <w:p>
            <w:pPr>
              <w:spacing w:line="240" w:lineRule="atLeast"/>
              <w:rPr>
                <w:rFonts w:hint="eastAsia" w:ascii="宋体" w:hAnsi="宋体" w:eastAsia="宋体" w:cs="宋体"/>
                <w:bCs/>
                <w:color w:val="auto"/>
                <w:szCs w:val="21"/>
                <w:lang w:eastAsia="zh-Hans"/>
              </w:rPr>
            </w:pPr>
          </w:p>
        </w:tc>
      </w:tr>
      <w:tr>
        <w:trPr>
          <w:cantSplit/>
          <w:trHeight w:val="163" w:hRule="atLeast"/>
          <w:jc w:val="center"/>
        </w:trPr>
        <w:tc>
          <w:tcPr>
            <w:tcW w:w="899" w:type="dxa"/>
            <w:vMerge w:val="restart"/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pacing w:val="20"/>
                <w:szCs w:val="21"/>
              </w:rPr>
              <w:t>不及格课程及成绩</w:t>
            </w:r>
          </w:p>
        </w:tc>
        <w:tc>
          <w:tcPr>
            <w:tcW w:w="2122" w:type="dxa"/>
            <w:gridSpan w:val="2"/>
          </w:tcPr>
          <w:p>
            <w:pPr>
              <w:wordWrap w:val="0"/>
              <w:spacing w:line="40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学年学期</w:t>
            </w:r>
          </w:p>
        </w:tc>
        <w:tc>
          <w:tcPr>
            <w:tcW w:w="2029" w:type="dxa"/>
            <w:gridSpan w:val="3"/>
          </w:tcPr>
          <w:p>
            <w:pPr>
              <w:wordWrap w:val="0"/>
              <w:spacing w:line="40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课程名称</w:t>
            </w:r>
          </w:p>
        </w:tc>
        <w:tc>
          <w:tcPr>
            <w:tcW w:w="1657" w:type="dxa"/>
          </w:tcPr>
          <w:p>
            <w:pPr>
              <w:wordWrap w:val="0"/>
              <w:spacing w:line="40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成绩</w:t>
            </w:r>
          </w:p>
        </w:tc>
        <w:tc>
          <w:tcPr>
            <w:tcW w:w="2129" w:type="dxa"/>
            <w:gridSpan w:val="3"/>
          </w:tcPr>
          <w:p>
            <w:pPr>
              <w:wordWrap w:val="0"/>
              <w:spacing w:line="40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学分</w:t>
            </w:r>
          </w:p>
        </w:tc>
        <w:tc>
          <w:tcPr>
            <w:tcW w:w="1743" w:type="dxa"/>
          </w:tcPr>
          <w:p>
            <w:pPr>
              <w:wordWrap w:val="0"/>
              <w:spacing w:line="40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补考成绩</w:t>
            </w:r>
          </w:p>
        </w:tc>
      </w:tr>
      <w:tr>
        <w:trPr>
          <w:cantSplit/>
          <w:trHeight w:val="163" w:hRule="atLeast"/>
          <w:jc w:val="center"/>
        </w:trPr>
        <w:tc>
          <w:tcPr>
            <w:tcW w:w="899" w:type="dxa"/>
            <w:vMerge w:val="continue"/>
            <w:textDirection w:val="tbRlV"/>
            <w:vAlign w:val="center"/>
          </w:tcPr>
          <w:p>
            <w:pPr>
              <w:wordWrap w:val="0"/>
              <w:spacing w:line="400" w:lineRule="exact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</w:p>
        </w:tc>
        <w:tc>
          <w:tcPr>
            <w:tcW w:w="2122" w:type="dxa"/>
            <w:gridSpan w:val="2"/>
          </w:tcPr>
          <w:p>
            <w:pPr>
              <w:wordWrap w:val="0"/>
              <w:spacing w:line="400" w:lineRule="exact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</w:p>
        </w:tc>
        <w:tc>
          <w:tcPr>
            <w:tcW w:w="2029" w:type="dxa"/>
            <w:gridSpan w:val="3"/>
          </w:tcPr>
          <w:p>
            <w:pPr>
              <w:wordWrap w:val="0"/>
              <w:spacing w:line="400" w:lineRule="exact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</w:p>
        </w:tc>
        <w:tc>
          <w:tcPr>
            <w:tcW w:w="1657" w:type="dxa"/>
          </w:tcPr>
          <w:p>
            <w:pPr>
              <w:wordWrap w:val="0"/>
              <w:spacing w:line="400" w:lineRule="exact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</w:p>
        </w:tc>
        <w:tc>
          <w:tcPr>
            <w:tcW w:w="2129" w:type="dxa"/>
            <w:gridSpan w:val="3"/>
          </w:tcPr>
          <w:p>
            <w:pPr>
              <w:wordWrap w:val="0"/>
              <w:spacing w:line="400" w:lineRule="exact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</w:p>
        </w:tc>
        <w:tc>
          <w:tcPr>
            <w:tcW w:w="1743" w:type="dxa"/>
          </w:tcPr>
          <w:p>
            <w:pPr>
              <w:wordWrap w:val="0"/>
              <w:spacing w:line="400" w:lineRule="exact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</w:p>
        </w:tc>
      </w:tr>
      <w:tr>
        <w:trPr>
          <w:cantSplit/>
          <w:trHeight w:val="163" w:hRule="atLeast"/>
          <w:jc w:val="center"/>
        </w:trPr>
        <w:tc>
          <w:tcPr>
            <w:tcW w:w="899" w:type="dxa"/>
            <w:vMerge w:val="continue"/>
            <w:textDirection w:val="tbRlV"/>
            <w:vAlign w:val="center"/>
          </w:tcPr>
          <w:p>
            <w:pPr>
              <w:wordWrap w:val="0"/>
              <w:spacing w:line="400" w:lineRule="exact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</w:p>
        </w:tc>
        <w:tc>
          <w:tcPr>
            <w:tcW w:w="2122" w:type="dxa"/>
            <w:gridSpan w:val="2"/>
          </w:tcPr>
          <w:p>
            <w:pPr>
              <w:wordWrap w:val="0"/>
              <w:spacing w:line="400" w:lineRule="exact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</w:p>
        </w:tc>
        <w:tc>
          <w:tcPr>
            <w:tcW w:w="2029" w:type="dxa"/>
            <w:gridSpan w:val="3"/>
          </w:tcPr>
          <w:p>
            <w:pPr>
              <w:wordWrap w:val="0"/>
              <w:spacing w:line="400" w:lineRule="exact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</w:p>
        </w:tc>
        <w:tc>
          <w:tcPr>
            <w:tcW w:w="1657" w:type="dxa"/>
          </w:tcPr>
          <w:p>
            <w:pPr>
              <w:wordWrap w:val="0"/>
              <w:spacing w:line="400" w:lineRule="exact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</w:p>
        </w:tc>
        <w:tc>
          <w:tcPr>
            <w:tcW w:w="2129" w:type="dxa"/>
            <w:gridSpan w:val="3"/>
          </w:tcPr>
          <w:p>
            <w:pPr>
              <w:wordWrap w:val="0"/>
              <w:spacing w:line="400" w:lineRule="exact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</w:p>
        </w:tc>
        <w:tc>
          <w:tcPr>
            <w:tcW w:w="1743" w:type="dxa"/>
          </w:tcPr>
          <w:p>
            <w:pPr>
              <w:wordWrap w:val="0"/>
              <w:spacing w:line="400" w:lineRule="exact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</w:p>
        </w:tc>
      </w:tr>
      <w:tr>
        <w:trPr>
          <w:cantSplit/>
          <w:trHeight w:val="163" w:hRule="atLeast"/>
          <w:jc w:val="center"/>
        </w:trPr>
        <w:tc>
          <w:tcPr>
            <w:tcW w:w="899" w:type="dxa"/>
            <w:vMerge w:val="continue"/>
            <w:textDirection w:val="tbRlV"/>
            <w:vAlign w:val="center"/>
          </w:tcPr>
          <w:p>
            <w:pPr>
              <w:wordWrap w:val="0"/>
              <w:spacing w:line="400" w:lineRule="exact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</w:p>
        </w:tc>
        <w:tc>
          <w:tcPr>
            <w:tcW w:w="2122" w:type="dxa"/>
            <w:gridSpan w:val="2"/>
          </w:tcPr>
          <w:p>
            <w:pPr>
              <w:wordWrap w:val="0"/>
              <w:spacing w:line="400" w:lineRule="exact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</w:p>
        </w:tc>
        <w:tc>
          <w:tcPr>
            <w:tcW w:w="2029" w:type="dxa"/>
            <w:gridSpan w:val="3"/>
          </w:tcPr>
          <w:p>
            <w:pPr>
              <w:wordWrap w:val="0"/>
              <w:spacing w:line="400" w:lineRule="exact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</w:p>
        </w:tc>
        <w:tc>
          <w:tcPr>
            <w:tcW w:w="1657" w:type="dxa"/>
          </w:tcPr>
          <w:p>
            <w:pPr>
              <w:wordWrap w:val="0"/>
              <w:spacing w:line="400" w:lineRule="exact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</w:p>
        </w:tc>
        <w:tc>
          <w:tcPr>
            <w:tcW w:w="2129" w:type="dxa"/>
            <w:gridSpan w:val="3"/>
          </w:tcPr>
          <w:p>
            <w:pPr>
              <w:wordWrap w:val="0"/>
              <w:spacing w:line="400" w:lineRule="exact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</w:p>
        </w:tc>
        <w:tc>
          <w:tcPr>
            <w:tcW w:w="1743" w:type="dxa"/>
          </w:tcPr>
          <w:p>
            <w:pPr>
              <w:wordWrap w:val="0"/>
              <w:spacing w:line="400" w:lineRule="exact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</w:p>
        </w:tc>
      </w:tr>
      <w:tr>
        <w:trPr>
          <w:cantSplit/>
          <w:trHeight w:val="163" w:hRule="atLeast"/>
          <w:jc w:val="center"/>
        </w:trPr>
        <w:tc>
          <w:tcPr>
            <w:tcW w:w="899" w:type="dxa"/>
            <w:vMerge w:val="continue"/>
            <w:textDirection w:val="tbRlV"/>
            <w:vAlign w:val="center"/>
          </w:tcPr>
          <w:p>
            <w:pPr>
              <w:wordWrap w:val="0"/>
              <w:spacing w:line="400" w:lineRule="exact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</w:p>
        </w:tc>
        <w:tc>
          <w:tcPr>
            <w:tcW w:w="2122" w:type="dxa"/>
            <w:gridSpan w:val="2"/>
          </w:tcPr>
          <w:p>
            <w:pPr>
              <w:wordWrap w:val="0"/>
              <w:spacing w:line="400" w:lineRule="exact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</w:p>
        </w:tc>
        <w:tc>
          <w:tcPr>
            <w:tcW w:w="2029" w:type="dxa"/>
            <w:gridSpan w:val="3"/>
          </w:tcPr>
          <w:p>
            <w:pPr>
              <w:wordWrap w:val="0"/>
              <w:spacing w:line="400" w:lineRule="exact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</w:p>
        </w:tc>
        <w:tc>
          <w:tcPr>
            <w:tcW w:w="1657" w:type="dxa"/>
          </w:tcPr>
          <w:p>
            <w:pPr>
              <w:wordWrap w:val="0"/>
              <w:spacing w:line="400" w:lineRule="exact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</w:p>
        </w:tc>
        <w:tc>
          <w:tcPr>
            <w:tcW w:w="2129" w:type="dxa"/>
            <w:gridSpan w:val="3"/>
          </w:tcPr>
          <w:p>
            <w:pPr>
              <w:wordWrap w:val="0"/>
              <w:spacing w:line="400" w:lineRule="exact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</w:p>
        </w:tc>
        <w:tc>
          <w:tcPr>
            <w:tcW w:w="1743" w:type="dxa"/>
          </w:tcPr>
          <w:p>
            <w:pPr>
              <w:wordWrap w:val="0"/>
              <w:spacing w:line="400" w:lineRule="exact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</w:p>
        </w:tc>
      </w:tr>
      <w:tr>
        <w:trPr>
          <w:cantSplit/>
          <w:trHeight w:val="163" w:hRule="atLeast"/>
          <w:jc w:val="center"/>
        </w:trPr>
        <w:tc>
          <w:tcPr>
            <w:tcW w:w="899" w:type="dxa"/>
            <w:vMerge w:val="continue"/>
            <w:textDirection w:val="tbRlV"/>
            <w:vAlign w:val="center"/>
          </w:tcPr>
          <w:p>
            <w:pPr>
              <w:wordWrap w:val="0"/>
              <w:spacing w:line="400" w:lineRule="exact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</w:p>
        </w:tc>
        <w:tc>
          <w:tcPr>
            <w:tcW w:w="2122" w:type="dxa"/>
            <w:gridSpan w:val="2"/>
          </w:tcPr>
          <w:p>
            <w:pPr>
              <w:wordWrap w:val="0"/>
              <w:spacing w:line="400" w:lineRule="exact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</w:p>
        </w:tc>
        <w:tc>
          <w:tcPr>
            <w:tcW w:w="2029" w:type="dxa"/>
            <w:gridSpan w:val="3"/>
          </w:tcPr>
          <w:p>
            <w:pPr>
              <w:wordWrap w:val="0"/>
              <w:spacing w:line="400" w:lineRule="exact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</w:p>
        </w:tc>
        <w:tc>
          <w:tcPr>
            <w:tcW w:w="1657" w:type="dxa"/>
          </w:tcPr>
          <w:p>
            <w:pPr>
              <w:wordWrap w:val="0"/>
              <w:spacing w:line="400" w:lineRule="exact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</w:p>
        </w:tc>
        <w:tc>
          <w:tcPr>
            <w:tcW w:w="2129" w:type="dxa"/>
            <w:gridSpan w:val="3"/>
          </w:tcPr>
          <w:p>
            <w:pPr>
              <w:wordWrap w:val="0"/>
              <w:spacing w:line="400" w:lineRule="exact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</w:p>
        </w:tc>
        <w:tc>
          <w:tcPr>
            <w:tcW w:w="1743" w:type="dxa"/>
          </w:tcPr>
          <w:p>
            <w:pPr>
              <w:wordWrap w:val="0"/>
              <w:spacing w:line="400" w:lineRule="exact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</w:p>
        </w:tc>
      </w:tr>
      <w:tr>
        <w:trPr>
          <w:cantSplit/>
          <w:trHeight w:val="163" w:hRule="atLeast"/>
          <w:jc w:val="center"/>
        </w:trPr>
        <w:tc>
          <w:tcPr>
            <w:tcW w:w="899" w:type="dxa"/>
            <w:vMerge w:val="continue"/>
            <w:textDirection w:val="tbRlV"/>
            <w:vAlign w:val="center"/>
          </w:tcPr>
          <w:p>
            <w:pPr>
              <w:wordWrap w:val="0"/>
              <w:spacing w:line="400" w:lineRule="exact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</w:p>
        </w:tc>
        <w:tc>
          <w:tcPr>
            <w:tcW w:w="2122" w:type="dxa"/>
            <w:gridSpan w:val="2"/>
          </w:tcPr>
          <w:p>
            <w:pPr>
              <w:wordWrap w:val="0"/>
              <w:spacing w:line="400" w:lineRule="exact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</w:p>
        </w:tc>
        <w:tc>
          <w:tcPr>
            <w:tcW w:w="2029" w:type="dxa"/>
            <w:gridSpan w:val="3"/>
          </w:tcPr>
          <w:p>
            <w:pPr>
              <w:wordWrap w:val="0"/>
              <w:spacing w:line="400" w:lineRule="exact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</w:p>
        </w:tc>
        <w:tc>
          <w:tcPr>
            <w:tcW w:w="1657" w:type="dxa"/>
          </w:tcPr>
          <w:p>
            <w:pPr>
              <w:wordWrap w:val="0"/>
              <w:spacing w:line="400" w:lineRule="exact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</w:p>
        </w:tc>
        <w:tc>
          <w:tcPr>
            <w:tcW w:w="2129" w:type="dxa"/>
            <w:gridSpan w:val="3"/>
          </w:tcPr>
          <w:p>
            <w:pPr>
              <w:wordWrap w:val="0"/>
              <w:spacing w:line="400" w:lineRule="exact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</w:p>
        </w:tc>
        <w:tc>
          <w:tcPr>
            <w:tcW w:w="1743" w:type="dxa"/>
          </w:tcPr>
          <w:p>
            <w:pPr>
              <w:wordWrap w:val="0"/>
              <w:spacing w:line="400" w:lineRule="exact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</w:p>
        </w:tc>
      </w:tr>
      <w:tr>
        <w:trPr>
          <w:cantSplit/>
          <w:trHeight w:val="163" w:hRule="atLeast"/>
          <w:jc w:val="center"/>
        </w:trPr>
        <w:tc>
          <w:tcPr>
            <w:tcW w:w="899" w:type="dxa"/>
            <w:vMerge w:val="continue"/>
            <w:textDirection w:val="tbRlV"/>
            <w:vAlign w:val="center"/>
          </w:tcPr>
          <w:p>
            <w:pPr>
              <w:wordWrap w:val="0"/>
              <w:spacing w:line="400" w:lineRule="exact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</w:p>
        </w:tc>
        <w:tc>
          <w:tcPr>
            <w:tcW w:w="2122" w:type="dxa"/>
            <w:gridSpan w:val="2"/>
          </w:tcPr>
          <w:p>
            <w:pPr>
              <w:wordWrap w:val="0"/>
              <w:spacing w:line="400" w:lineRule="exact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</w:p>
        </w:tc>
        <w:tc>
          <w:tcPr>
            <w:tcW w:w="2029" w:type="dxa"/>
            <w:gridSpan w:val="3"/>
          </w:tcPr>
          <w:p>
            <w:pPr>
              <w:wordWrap w:val="0"/>
              <w:spacing w:line="400" w:lineRule="exact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</w:p>
        </w:tc>
        <w:tc>
          <w:tcPr>
            <w:tcW w:w="1657" w:type="dxa"/>
          </w:tcPr>
          <w:p>
            <w:pPr>
              <w:wordWrap w:val="0"/>
              <w:spacing w:line="400" w:lineRule="exact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</w:p>
        </w:tc>
        <w:tc>
          <w:tcPr>
            <w:tcW w:w="2129" w:type="dxa"/>
            <w:gridSpan w:val="3"/>
          </w:tcPr>
          <w:p>
            <w:pPr>
              <w:wordWrap w:val="0"/>
              <w:spacing w:line="400" w:lineRule="exact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</w:p>
        </w:tc>
        <w:tc>
          <w:tcPr>
            <w:tcW w:w="1743" w:type="dxa"/>
          </w:tcPr>
          <w:p>
            <w:pPr>
              <w:wordWrap w:val="0"/>
              <w:spacing w:line="400" w:lineRule="exact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</w:p>
        </w:tc>
      </w:tr>
      <w:tr>
        <w:trPr>
          <w:cantSplit/>
          <w:trHeight w:val="163" w:hRule="atLeast"/>
          <w:jc w:val="center"/>
        </w:trPr>
        <w:tc>
          <w:tcPr>
            <w:tcW w:w="899" w:type="dxa"/>
            <w:vMerge w:val="continue"/>
            <w:textDirection w:val="tbRlV"/>
            <w:vAlign w:val="center"/>
          </w:tcPr>
          <w:p>
            <w:pPr>
              <w:wordWrap w:val="0"/>
              <w:spacing w:line="400" w:lineRule="exact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</w:p>
        </w:tc>
        <w:tc>
          <w:tcPr>
            <w:tcW w:w="2122" w:type="dxa"/>
            <w:gridSpan w:val="2"/>
          </w:tcPr>
          <w:p>
            <w:pPr>
              <w:wordWrap w:val="0"/>
              <w:spacing w:line="400" w:lineRule="exact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</w:p>
        </w:tc>
        <w:tc>
          <w:tcPr>
            <w:tcW w:w="2029" w:type="dxa"/>
            <w:gridSpan w:val="3"/>
          </w:tcPr>
          <w:p>
            <w:pPr>
              <w:wordWrap w:val="0"/>
              <w:spacing w:line="400" w:lineRule="exact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</w:p>
        </w:tc>
        <w:tc>
          <w:tcPr>
            <w:tcW w:w="1657" w:type="dxa"/>
          </w:tcPr>
          <w:p>
            <w:pPr>
              <w:wordWrap w:val="0"/>
              <w:spacing w:line="400" w:lineRule="exact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</w:p>
        </w:tc>
        <w:tc>
          <w:tcPr>
            <w:tcW w:w="2129" w:type="dxa"/>
            <w:gridSpan w:val="3"/>
          </w:tcPr>
          <w:p>
            <w:pPr>
              <w:wordWrap w:val="0"/>
              <w:spacing w:line="400" w:lineRule="exact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</w:p>
        </w:tc>
        <w:tc>
          <w:tcPr>
            <w:tcW w:w="1743" w:type="dxa"/>
          </w:tcPr>
          <w:p>
            <w:pPr>
              <w:wordWrap w:val="0"/>
              <w:spacing w:line="400" w:lineRule="exact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</w:p>
        </w:tc>
      </w:tr>
      <w:tr>
        <w:trPr>
          <w:cantSplit/>
          <w:trHeight w:val="163" w:hRule="atLeast"/>
          <w:jc w:val="center"/>
        </w:trPr>
        <w:tc>
          <w:tcPr>
            <w:tcW w:w="899" w:type="dxa"/>
            <w:vMerge w:val="continue"/>
            <w:textDirection w:val="tbRlV"/>
            <w:vAlign w:val="center"/>
          </w:tcPr>
          <w:p>
            <w:pPr>
              <w:wordWrap w:val="0"/>
              <w:spacing w:line="400" w:lineRule="exact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</w:p>
        </w:tc>
        <w:tc>
          <w:tcPr>
            <w:tcW w:w="2122" w:type="dxa"/>
            <w:gridSpan w:val="2"/>
          </w:tcPr>
          <w:p>
            <w:pPr>
              <w:wordWrap w:val="0"/>
              <w:spacing w:line="400" w:lineRule="exact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</w:p>
        </w:tc>
        <w:tc>
          <w:tcPr>
            <w:tcW w:w="2029" w:type="dxa"/>
            <w:gridSpan w:val="3"/>
          </w:tcPr>
          <w:p>
            <w:pPr>
              <w:wordWrap w:val="0"/>
              <w:spacing w:line="400" w:lineRule="exact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</w:p>
        </w:tc>
        <w:tc>
          <w:tcPr>
            <w:tcW w:w="1657" w:type="dxa"/>
          </w:tcPr>
          <w:p>
            <w:pPr>
              <w:wordWrap w:val="0"/>
              <w:spacing w:line="400" w:lineRule="exact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</w:p>
        </w:tc>
        <w:tc>
          <w:tcPr>
            <w:tcW w:w="2129" w:type="dxa"/>
            <w:gridSpan w:val="3"/>
          </w:tcPr>
          <w:p>
            <w:pPr>
              <w:wordWrap w:val="0"/>
              <w:spacing w:line="400" w:lineRule="exact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</w:p>
        </w:tc>
        <w:tc>
          <w:tcPr>
            <w:tcW w:w="1743" w:type="dxa"/>
          </w:tcPr>
          <w:p>
            <w:pPr>
              <w:wordWrap w:val="0"/>
              <w:spacing w:line="400" w:lineRule="exact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</w:p>
        </w:tc>
      </w:tr>
      <w:tr>
        <w:trPr>
          <w:cantSplit/>
          <w:trHeight w:val="163" w:hRule="atLeast"/>
          <w:jc w:val="center"/>
        </w:trPr>
        <w:tc>
          <w:tcPr>
            <w:tcW w:w="899" w:type="dxa"/>
            <w:vMerge w:val="continue"/>
            <w:textDirection w:val="tbRlV"/>
            <w:vAlign w:val="center"/>
          </w:tcPr>
          <w:p>
            <w:pPr>
              <w:wordWrap w:val="0"/>
              <w:spacing w:line="400" w:lineRule="exact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</w:p>
        </w:tc>
        <w:tc>
          <w:tcPr>
            <w:tcW w:w="2122" w:type="dxa"/>
            <w:gridSpan w:val="2"/>
          </w:tcPr>
          <w:p>
            <w:pPr>
              <w:wordWrap w:val="0"/>
              <w:spacing w:line="400" w:lineRule="exact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</w:p>
        </w:tc>
        <w:tc>
          <w:tcPr>
            <w:tcW w:w="2029" w:type="dxa"/>
            <w:gridSpan w:val="3"/>
          </w:tcPr>
          <w:p>
            <w:pPr>
              <w:wordWrap w:val="0"/>
              <w:spacing w:line="400" w:lineRule="exact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</w:p>
        </w:tc>
        <w:tc>
          <w:tcPr>
            <w:tcW w:w="1657" w:type="dxa"/>
          </w:tcPr>
          <w:p>
            <w:pPr>
              <w:wordWrap w:val="0"/>
              <w:spacing w:line="400" w:lineRule="exact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</w:p>
        </w:tc>
        <w:tc>
          <w:tcPr>
            <w:tcW w:w="2129" w:type="dxa"/>
            <w:gridSpan w:val="3"/>
          </w:tcPr>
          <w:p>
            <w:pPr>
              <w:wordWrap w:val="0"/>
              <w:spacing w:line="400" w:lineRule="exact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</w:p>
        </w:tc>
        <w:tc>
          <w:tcPr>
            <w:tcW w:w="1743" w:type="dxa"/>
          </w:tcPr>
          <w:p>
            <w:pPr>
              <w:wordWrap w:val="0"/>
              <w:spacing w:line="400" w:lineRule="exact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</w:p>
        </w:tc>
      </w:tr>
      <w:tr>
        <w:trPr>
          <w:cantSplit/>
          <w:trHeight w:val="1887" w:hRule="atLeast"/>
          <w:jc w:val="center"/>
        </w:trPr>
        <w:tc>
          <w:tcPr>
            <w:tcW w:w="899" w:type="dxa"/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hint="eastAsia" w:ascii="宋体" w:hAnsi="宋体" w:eastAsia="宋体" w:cs="宋体"/>
                <w:bCs/>
                <w:color w:val="auto"/>
                <w:spacing w:val="2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pacing w:val="20"/>
                <w:szCs w:val="21"/>
              </w:rPr>
              <w:t>预警原因及</w:t>
            </w:r>
            <w:r>
              <w:rPr>
                <w:rFonts w:hint="eastAsia" w:ascii="宋体" w:hAnsi="宋体" w:eastAsia="宋体" w:cs="宋体"/>
                <w:bCs/>
                <w:color w:val="auto"/>
                <w:spacing w:val="20"/>
                <w:szCs w:val="21"/>
                <w:lang w:eastAsia="zh-Hans"/>
              </w:rPr>
              <w:t>系</w:t>
            </w:r>
            <w:r>
              <w:rPr>
                <w:rFonts w:hint="eastAsia" w:ascii="宋体" w:hAnsi="宋体" w:eastAsia="宋体" w:cs="宋体"/>
                <w:bCs/>
                <w:color w:val="auto"/>
                <w:spacing w:val="20"/>
                <w:szCs w:val="21"/>
              </w:rPr>
              <w:t>处理意见</w:t>
            </w:r>
          </w:p>
          <w:p>
            <w:pPr>
              <w:spacing w:line="400" w:lineRule="exact"/>
              <w:ind w:left="113" w:right="113"/>
              <w:jc w:val="center"/>
              <w:rPr>
                <w:rFonts w:hint="eastAsia" w:ascii="宋体" w:hAnsi="宋体" w:eastAsia="宋体" w:cs="宋体"/>
                <w:bCs/>
                <w:color w:val="auto"/>
                <w:spacing w:val="20"/>
                <w:szCs w:val="21"/>
              </w:rPr>
            </w:pPr>
          </w:p>
        </w:tc>
        <w:tc>
          <w:tcPr>
            <w:tcW w:w="9680" w:type="dxa"/>
            <w:gridSpan w:val="10"/>
          </w:tcPr>
          <w:p>
            <w:pPr>
              <w:spacing w:line="400" w:lineRule="exact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</w:p>
          <w:p>
            <w:pPr>
              <w:spacing w:after="468" w:afterLines="150" w:line="400" w:lineRule="exact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</w:p>
          <w:p>
            <w:pPr>
              <w:wordWrap w:val="0"/>
              <w:spacing w:line="400" w:lineRule="exact"/>
              <w:jc w:val="right"/>
              <w:rPr>
                <w:rFonts w:hint="eastAsia" w:ascii="宋体" w:hAnsi="宋体" w:eastAsia="宋体" w:cs="宋体"/>
                <w:bCs/>
                <w:color w:val="auto"/>
                <w:szCs w:val="21"/>
                <w:lang w:eastAsia="zh-Hans"/>
              </w:rPr>
            </w:pPr>
          </w:p>
          <w:p>
            <w:pPr>
              <w:wordWrap w:val="0"/>
              <w:spacing w:line="40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  <w:lang w:eastAsia="zh-Hans"/>
              </w:rPr>
              <w:t>分管教学副主任</w:t>
            </w: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签字（</w:t>
            </w:r>
            <w:r>
              <w:rPr>
                <w:rFonts w:hint="eastAsia" w:ascii="宋体" w:hAnsi="宋体" w:eastAsia="宋体" w:cs="宋体"/>
                <w:bCs/>
                <w:color w:val="auto"/>
                <w:szCs w:val="21"/>
                <w:lang w:eastAsia="zh-Hans"/>
              </w:rPr>
              <w:t>系</w:t>
            </w:r>
            <w:r>
              <w:rPr>
                <w:rFonts w:ascii="宋体" w:hAnsi="宋体" w:eastAsia="宋体" w:cs="宋体"/>
                <w:bCs/>
                <w:color w:val="auto"/>
                <w:szCs w:val="21"/>
                <w:lang w:eastAsia="zh-Hans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 xml:space="preserve">公章）： </w:t>
            </w:r>
          </w:p>
          <w:p>
            <w:pPr>
              <w:wordWrap w:val="0"/>
              <w:spacing w:line="40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 xml:space="preserve">          　     　　　　年　 月　 日</w:t>
            </w:r>
          </w:p>
        </w:tc>
      </w:tr>
      <w:tr>
        <w:trPr>
          <w:cantSplit/>
          <w:trHeight w:val="1911" w:hRule="atLeast"/>
          <w:jc w:val="center"/>
        </w:trPr>
        <w:tc>
          <w:tcPr>
            <w:tcW w:w="89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  <w:lang w:eastAsia="zh-Hans"/>
              </w:rPr>
              <w:t>学生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  <w:lang w:eastAsia="zh-Hans"/>
              </w:rPr>
              <w:t>签字</w:t>
            </w:r>
          </w:p>
        </w:tc>
        <w:tc>
          <w:tcPr>
            <w:tcW w:w="9680" w:type="dxa"/>
            <w:gridSpan w:val="10"/>
          </w:tcPr>
          <w:p>
            <w:pPr>
              <w:spacing w:line="400" w:lineRule="exact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</w:p>
          <w:p>
            <w:pPr>
              <w:ind w:firstLine="420" w:firstLineChars="200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学校关于本人学业方面的警示，本人已经知晓。　</w:t>
            </w:r>
          </w:p>
          <w:p>
            <w:pPr>
              <w:ind w:firstLine="4620" w:firstLineChars="2200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</w:p>
          <w:p>
            <w:pPr>
              <w:ind w:firstLine="4410" w:firstLineChars="2100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 xml:space="preserve">学生本人签字：           </w:t>
            </w:r>
          </w:p>
          <w:p>
            <w:pPr>
              <w:ind w:firstLine="4830" w:firstLineChars="2300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 xml:space="preserve"> 年　 月　 日</w:t>
            </w:r>
          </w:p>
        </w:tc>
      </w:tr>
    </w:tbl>
    <w:tbl>
      <w:tblPr>
        <w:tblStyle w:val="4"/>
        <w:tblpPr w:leftFromText="180" w:rightFromText="180" w:vertAnchor="text" w:tblpX="10217" w:tblpY="-9783"/>
        <w:tblOverlap w:val="never"/>
        <w:tblW w:w="14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" w:hRule="atLeast"/>
        </w:trPr>
        <w:tc>
          <w:tcPr>
            <w:tcW w:w="1441" w:type="dxa"/>
          </w:tcPr>
          <w:p>
            <w:pPr>
              <w:rPr>
                <w:rFonts w:hint="eastAsia" w:ascii="宋体" w:hAnsi="宋体" w:eastAsia="宋体" w:cs="宋体"/>
                <w:bCs/>
                <w:color w:val="auto"/>
                <w:spacing w:val="2"/>
                <w:szCs w:val="21"/>
              </w:rPr>
            </w:pPr>
          </w:p>
        </w:tc>
      </w:tr>
    </w:tbl>
    <w:p>
      <w:pPr>
        <w:rPr>
          <w:rFonts w:hint="eastAsia" w:ascii="宋体" w:hAnsi="宋体" w:eastAsia="宋体" w:cs="宋体"/>
          <w:bCs/>
          <w:color w:val="auto"/>
          <w:szCs w:val="21"/>
        </w:rPr>
        <w:sectPr>
          <w:headerReference r:id="rId4" w:type="first"/>
          <w:footerReference r:id="rId6" w:type="first"/>
          <w:headerReference r:id="rId3" w:type="default"/>
          <w:footerReference r:id="rId5" w:type="default"/>
          <w:pgSz w:w="11906" w:h="16838"/>
          <w:pgMar w:top="1440" w:right="1797" w:bottom="1440" w:left="1797" w:header="851" w:footer="992" w:gutter="0"/>
          <w:pgNumType w:start="1"/>
          <w:cols w:space="720" w:num="1"/>
          <w:titlePg/>
          <w:docGrid w:type="lines" w:linePitch="312" w:charSpace="0"/>
        </w:sectPr>
      </w:pPr>
      <w:r>
        <w:rPr>
          <w:rFonts w:hint="eastAsia" w:ascii="宋体" w:hAnsi="宋体" w:eastAsia="宋体" w:cs="宋体"/>
          <w:bCs/>
          <w:color w:val="auto"/>
          <w:spacing w:val="2"/>
          <w:szCs w:val="21"/>
        </w:rPr>
        <w:t>注：此通知单</w:t>
      </w:r>
      <w:r>
        <w:rPr>
          <w:rFonts w:hint="eastAsia" w:ascii="宋体" w:hAnsi="宋体" w:eastAsia="宋体" w:cs="宋体"/>
          <w:bCs/>
          <w:color w:val="auto"/>
          <w:szCs w:val="21"/>
        </w:rPr>
        <w:t>一</w:t>
      </w:r>
      <w:r>
        <w:rPr>
          <w:rFonts w:hint="eastAsia" w:ascii="宋体" w:hAnsi="宋体" w:eastAsia="宋体" w:cs="宋体"/>
          <w:bCs/>
          <w:color w:val="auto"/>
          <w:spacing w:val="2"/>
          <w:szCs w:val="21"/>
        </w:rPr>
        <w:t>式</w:t>
      </w:r>
      <w:r>
        <w:rPr>
          <w:rFonts w:ascii="宋体" w:hAnsi="宋体" w:eastAsia="宋体" w:cs="宋体"/>
          <w:bCs/>
          <w:color w:val="auto"/>
          <w:spacing w:val="2"/>
          <w:szCs w:val="21"/>
        </w:rPr>
        <w:t>2</w:t>
      </w:r>
      <w:r>
        <w:rPr>
          <w:rFonts w:hint="eastAsia" w:ascii="宋体" w:hAnsi="宋体" w:eastAsia="宋体" w:cs="宋体"/>
          <w:bCs/>
          <w:color w:val="auto"/>
          <w:spacing w:val="2"/>
          <w:szCs w:val="21"/>
        </w:rPr>
        <w:t>份，</w:t>
      </w:r>
      <w:r>
        <w:rPr>
          <w:rFonts w:hint="eastAsia" w:ascii="宋体" w:hAnsi="宋体" w:eastAsia="宋体" w:cs="宋体"/>
          <w:bCs/>
          <w:color w:val="auto"/>
          <w:spacing w:val="2"/>
          <w:szCs w:val="21"/>
          <w:lang w:eastAsia="zh-Hans"/>
        </w:rPr>
        <w:t>系</w:t>
      </w:r>
      <w:r>
        <w:rPr>
          <w:rFonts w:hint="eastAsia" w:ascii="宋体" w:hAnsi="宋体" w:eastAsia="宋体" w:cs="宋体"/>
          <w:bCs/>
          <w:color w:val="auto"/>
          <w:szCs w:val="21"/>
        </w:rPr>
        <w:t>和</w:t>
      </w:r>
      <w:r>
        <w:rPr>
          <w:rFonts w:hint="eastAsia" w:ascii="宋体" w:hAnsi="宋体" w:eastAsia="宋体" w:cs="宋体"/>
          <w:bCs/>
          <w:color w:val="auto"/>
          <w:spacing w:val="2"/>
          <w:szCs w:val="21"/>
        </w:rPr>
        <w:t>学生本人各</w:t>
      </w:r>
      <w:r>
        <w:rPr>
          <w:rFonts w:ascii="宋体" w:hAnsi="宋体" w:eastAsia="宋体" w:cs="宋体"/>
          <w:bCs/>
          <w:color w:val="auto"/>
          <w:spacing w:val="2"/>
          <w:szCs w:val="21"/>
        </w:rPr>
        <w:t>1</w:t>
      </w:r>
      <w:r>
        <w:rPr>
          <w:rFonts w:hint="eastAsia" w:ascii="宋体" w:hAnsi="宋体" w:eastAsia="宋体" w:cs="宋体"/>
          <w:bCs/>
          <w:color w:val="auto"/>
          <w:spacing w:val="-1"/>
          <w:szCs w:val="21"/>
        </w:rPr>
        <w:t>份</w:t>
      </w:r>
      <w:r>
        <w:rPr>
          <w:rFonts w:hint="eastAsia" w:ascii="宋体" w:hAnsi="宋体" w:eastAsia="宋体" w:cs="宋体"/>
          <w:bCs/>
          <w:color w:val="auto"/>
          <w:szCs w:val="21"/>
        </w:rPr>
        <w:t>。</w:t>
      </w:r>
    </w:p>
    <w:p>
      <w:pPr>
        <w:spacing w:line="570" w:lineRule="exact"/>
        <w:rPr>
          <w:rFonts w:hint="eastAsia" w:ascii="黑体" w:hAnsi="黑体" w:eastAsia="黑体" w:cs="Times New Roman"/>
          <w:color w:val="auto"/>
          <w:sz w:val="32"/>
          <w:szCs w:val="22"/>
        </w:rPr>
      </w:pPr>
      <w:r>
        <w:rPr>
          <w:rFonts w:hint="eastAsia" w:ascii="黑体" w:hAnsi="黑体" w:eastAsia="黑体" w:cs="Times New Roman"/>
          <w:color w:val="auto"/>
          <w:spacing w:val="2"/>
          <w:sz w:val="32"/>
          <w:szCs w:val="22"/>
        </w:rPr>
        <w:t>附</w:t>
      </w:r>
      <w:r>
        <w:rPr>
          <w:rFonts w:hint="eastAsia" w:ascii="黑体" w:hAnsi="黑体" w:eastAsia="黑体" w:cs="Times New Roman"/>
          <w:color w:val="auto"/>
          <w:sz w:val="32"/>
          <w:szCs w:val="22"/>
        </w:rPr>
        <w:t>件</w:t>
      </w:r>
      <w:r>
        <w:rPr>
          <w:rFonts w:hint="eastAsia" w:ascii="黑体" w:hAnsi="黑体" w:eastAsia="黑体" w:cs="Times New Roman"/>
          <w:color w:val="auto"/>
          <w:spacing w:val="-98"/>
          <w:sz w:val="32"/>
          <w:szCs w:val="22"/>
        </w:rPr>
        <w:t xml:space="preserve"> </w:t>
      </w:r>
      <w:r>
        <w:rPr>
          <w:rFonts w:hint="eastAsia" w:ascii="黑体" w:hAnsi="黑体" w:eastAsia="黑体" w:cs="Times New Roman"/>
          <w:color w:val="auto"/>
          <w:sz w:val="32"/>
          <w:szCs w:val="22"/>
        </w:rPr>
        <w:t>2</w:t>
      </w:r>
    </w:p>
    <w:p>
      <w:pPr>
        <w:spacing w:line="570" w:lineRule="exact"/>
        <w:ind w:firstLine="728" w:firstLineChars="200"/>
        <w:jc w:val="center"/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</w:rPr>
      </w:pPr>
      <w:r>
        <w:rPr>
          <w:rFonts w:ascii="方正小标宋_GBK" w:hAnsi="方正小标宋_GBK" w:eastAsia="方正小标宋_GBK" w:cs="方正小标宋_GBK"/>
          <w:color w:val="auto"/>
          <w:spacing w:val="2"/>
          <w:sz w:val="36"/>
          <w:szCs w:val="36"/>
        </w:rPr>
        <w:t>福州英华职业学院</w:t>
      </w: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</w:rPr>
        <w:t>学生</w:t>
      </w:r>
      <w:r>
        <w:rPr>
          <w:rFonts w:hint="eastAsia" w:ascii="方正小标宋_GBK" w:hAnsi="方正小标宋_GBK" w:eastAsia="方正小标宋_GBK" w:cs="方正小标宋_GBK"/>
          <w:color w:val="auto"/>
          <w:spacing w:val="2"/>
          <w:sz w:val="36"/>
          <w:szCs w:val="36"/>
        </w:rPr>
        <w:t>学</w:t>
      </w: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</w:rPr>
        <w:t>业预</w:t>
      </w:r>
      <w:r>
        <w:rPr>
          <w:rFonts w:hint="eastAsia" w:ascii="方正小标宋_GBK" w:hAnsi="方正小标宋_GBK" w:eastAsia="方正小标宋_GBK" w:cs="方正小标宋_GBK"/>
          <w:color w:val="auto"/>
          <w:spacing w:val="2"/>
          <w:sz w:val="36"/>
          <w:szCs w:val="36"/>
        </w:rPr>
        <w:t>警</w:t>
      </w: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</w:rPr>
        <w:t>处</w:t>
      </w:r>
      <w:r>
        <w:rPr>
          <w:rFonts w:hint="eastAsia" w:ascii="方正小标宋_GBK" w:hAnsi="方正小标宋_GBK" w:eastAsia="方正小标宋_GBK" w:cs="方正小标宋_GBK"/>
          <w:color w:val="auto"/>
          <w:spacing w:val="2"/>
          <w:sz w:val="36"/>
          <w:szCs w:val="36"/>
        </w:rPr>
        <w:t>理</w:t>
      </w: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</w:rPr>
        <w:t>结果</w:t>
      </w:r>
      <w:r>
        <w:rPr>
          <w:rFonts w:hint="eastAsia" w:ascii="方正小标宋_GBK" w:hAnsi="方正小标宋_GBK" w:eastAsia="方正小标宋_GBK" w:cs="方正小标宋_GBK"/>
          <w:color w:val="auto"/>
          <w:spacing w:val="2"/>
          <w:sz w:val="36"/>
          <w:szCs w:val="36"/>
        </w:rPr>
        <w:t>汇</w:t>
      </w: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</w:rPr>
        <w:t>总表</w:t>
      </w:r>
    </w:p>
    <w:p>
      <w:pPr>
        <w:kinsoku w:val="0"/>
        <w:overflowPunct w:val="0"/>
        <w:spacing w:before="8" w:line="150" w:lineRule="exact"/>
        <w:jc w:val="center"/>
        <w:rPr>
          <w:rFonts w:ascii="Calibri" w:hAnsi="Calibri" w:eastAsia="宋体" w:cs="Cordia New"/>
          <w:color w:val="auto"/>
          <w:sz w:val="15"/>
          <w:szCs w:val="22"/>
        </w:rPr>
      </w:pPr>
    </w:p>
    <w:p>
      <w:pPr>
        <w:kinsoku w:val="0"/>
        <w:overflowPunct w:val="0"/>
        <w:spacing w:line="200" w:lineRule="exact"/>
        <w:jc w:val="center"/>
        <w:rPr>
          <w:rFonts w:ascii="Calibri" w:hAnsi="Calibri" w:eastAsia="宋体" w:cs="Cordia New"/>
          <w:color w:val="auto"/>
          <w:sz w:val="28"/>
          <w:szCs w:val="28"/>
        </w:rPr>
      </w:pPr>
    </w:p>
    <w:p>
      <w:pPr>
        <w:tabs>
          <w:tab w:val="left" w:pos="9067"/>
        </w:tabs>
        <w:kinsoku w:val="0"/>
        <w:overflowPunct w:val="0"/>
        <w:spacing w:after="120"/>
        <w:ind w:left="228" w:firstLine="1400" w:firstLineChars="500"/>
        <w:rPr>
          <w:rFonts w:ascii="Calibri" w:hAnsi="Calibri" w:eastAsia="宋体" w:cs="Cordia New"/>
          <w:color w:val="auto"/>
          <w:sz w:val="28"/>
          <w:szCs w:val="28"/>
        </w:rPr>
      </w:pPr>
      <w:r>
        <w:rPr>
          <w:rFonts w:hint="eastAsia" w:ascii="Calibri" w:hAnsi="Calibri" w:eastAsia="宋体" w:cs="Cordia New"/>
          <w:color w:val="auto"/>
          <w:sz w:val="28"/>
          <w:szCs w:val="28"/>
          <w:lang w:eastAsia="zh-Hans"/>
        </w:rPr>
        <w:t>系</w:t>
      </w:r>
      <w:r>
        <w:rPr>
          <w:rFonts w:hint="eastAsia" w:ascii="Calibri" w:hAnsi="Calibri" w:eastAsia="宋体" w:cs="Cordia New"/>
          <w:color w:val="auto"/>
          <w:sz w:val="28"/>
          <w:szCs w:val="28"/>
        </w:rPr>
        <w:t>(</w:t>
      </w:r>
      <w:r>
        <w:rPr>
          <w:rFonts w:hint="eastAsia" w:ascii="Calibri" w:hAnsi="Calibri" w:eastAsia="宋体" w:cs="Cordia New"/>
          <w:color w:val="auto"/>
          <w:spacing w:val="2"/>
          <w:sz w:val="28"/>
          <w:szCs w:val="28"/>
        </w:rPr>
        <w:t>公章</w:t>
      </w:r>
      <w:r>
        <w:rPr>
          <w:rFonts w:hint="eastAsia" w:ascii="Calibri" w:hAnsi="Calibri" w:eastAsia="宋体" w:cs="Cordia New"/>
          <w:color w:val="auto"/>
          <w:sz w:val="28"/>
          <w:szCs w:val="28"/>
        </w:rPr>
        <w:t xml:space="preserve">):                                              </w:t>
      </w:r>
      <w:r>
        <w:rPr>
          <w:rFonts w:hint="eastAsia" w:ascii="Calibri" w:hAnsi="Calibri" w:eastAsia="宋体" w:cs="Cordia New"/>
          <w:color w:val="auto"/>
          <w:sz w:val="28"/>
          <w:szCs w:val="28"/>
          <w:lang w:eastAsia="zh-Hans"/>
        </w:rPr>
        <w:t>分管教学副主任</w:t>
      </w:r>
      <w:r>
        <w:rPr>
          <w:rFonts w:hint="eastAsia" w:ascii="Calibri" w:hAnsi="Calibri" w:eastAsia="宋体" w:cs="Cordia New"/>
          <w:color w:val="auto"/>
          <w:sz w:val="28"/>
          <w:szCs w:val="28"/>
        </w:rPr>
        <w:t>签</w:t>
      </w:r>
      <w:r>
        <w:rPr>
          <w:rFonts w:hint="eastAsia" w:ascii="Calibri" w:hAnsi="Calibri" w:eastAsia="宋体" w:cs="Cordia New"/>
          <w:color w:val="auto"/>
          <w:spacing w:val="2"/>
          <w:sz w:val="28"/>
          <w:szCs w:val="28"/>
        </w:rPr>
        <w:t>名</w:t>
      </w:r>
      <w:r>
        <w:rPr>
          <w:rFonts w:hint="eastAsia" w:ascii="Calibri" w:hAnsi="Calibri" w:eastAsia="宋体" w:cs="Cordia New"/>
          <w:color w:val="auto"/>
          <w:sz w:val="28"/>
          <w:szCs w:val="28"/>
        </w:rPr>
        <w:t>：</w:t>
      </w:r>
    </w:p>
    <w:tbl>
      <w:tblPr>
        <w:tblStyle w:val="3"/>
        <w:tblW w:w="1434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8"/>
        <w:gridCol w:w="1350"/>
        <w:gridCol w:w="1035"/>
        <w:gridCol w:w="2554"/>
        <w:gridCol w:w="3056"/>
        <w:gridCol w:w="2100"/>
        <w:gridCol w:w="2500"/>
      </w:tblGrid>
      <w:tr>
        <w:trPr>
          <w:trHeight w:val="696" w:hRule="exact"/>
          <w:jc w:val="center"/>
        </w:trPr>
        <w:tc>
          <w:tcPr>
            <w:tcW w:w="1434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1066"/>
                <w:tab w:val="left" w:pos="2355"/>
              </w:tabs>
              <w:kinsoku w:val="0"/>
              <w:overflowPunct w:val="0"/>
              <w:spacing w:before="28"/>
              <w:ind w:left="102"/>
              <w:jc w:val="center"/>
              <w:rPr>
                <w:rFonts w:ascii="Calibri" w:hAnsi="Calibri" w:eastAsia="宋体" w:cs="Cordia New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Cordia New"/>
                <w:color w:val="auto"/>
                <w:sz w:val="28"/>
                <w:szCs w:val="28"/>
              </w:rPr>
              <w:t>2</w:t>
            </w:r>
            <w:r>
              <w:rPr>
                <w:rFonts w:hint="eastAsia" w:ascii="仿宋_gb2312" w:hAnsi="仿宋_gb2312" w:eastAsia="仿宋_gb2312" w:cs="Cordia New"/>
                <w:color w:val="auto"/>
                <w:spacing w:val="2"/>
                <w:sz w:val="28"/>
                <w:szCs w:val="28"/>
              </w:rPr>
              <w:t>0</w:t>
            </w:r>
            <w:r>
              <w:rPr>
                <w:rFonts w:hint="eastAsia" w:ascii="仿宋_gb2312" w:hAnsi="仿宋_gb2312" w:eastAsia="仿宋_gb2312" w:cs="Cordia New"/>
                <w:color w:val="auto"/>
                <w:spacing w:val="2"/>
                <w:sz w:val="28"/>
                <w:szCs w:val="28"/>
                <w:u w:val="single"/>
              </w:rPr>
              <w:tab/>
            </w:r>
            <w:r>
              <w:rPr>
                <w:rFonts w:hint="eastAsia" w:ascii="仿宋_gb2312" w:hAnsi="仿宋_gb2312" w:eastAsia="仿宋_gb2312" w:cs="Cordia New"/>
                <w:color w:val="auto"/>
                <w:sz w:val="28"/>
                <w:szCs w:val="28"/>
              </w:rPr>
              <w:t>-</w:t>
            </w:r>
            <w:r>
              <w:rPr>
                <w:rFonts w:hint="eastAsia" w:ascii="仿宋_gb2312" w:hAnsi="仿宋_gb2312" w:eastAsia="仿宋_gb2312" w:cs="Cordia New"/>
                <w:color w:val="auto"/>
                <w:spacing w:val="3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Cordia New"/>
                <w:color w:val="auto"/>
                <w:sz w:val="28"/>
                <w:szCs w:val="28"/>
              </w:rPr>
              <w:t>2</w:t>
            </w:r>
            <w:r>
              <w:rPr>
                <w:rFonts w:hint="eastAsia" w:ascii="仿宋_gb2312" w:hAnsi="仿宋_gb2312" w:eastAsia="仿宋_gb2312" w:cs="Cordia New"/>
                <w:color w:val="auto"/>
                <w:spacing w:val="2"/>
                <w:sz w:val="28"/>
                <w:szCs w:val="28"/>
              </w:rPr>
              <w:t>0</w:t>
            </w:r>
            <w:r>
              <w:rPr>
                <w:rFonts w:hint="eastAsia" w:ascii="仿宋_gb2312" w:hAnsi="仿宋_gb2312" w:eastAsia="仿宋_gb2312" w:cs="Cordia New"/>
                <w:color w:val="auto"/>
                <w:spacing w:val="2"/>
                <w:sz w:val="28"/>
                <w:szCs w:val="28"/>
                <w:u w:val="single"/>
              </w:rPr>
              <w:tab/>
            </w:r>
            <w:r>
              <w:rPr>
                <w:rFonts w:hint="eastAsia" w:ascii="仿宋_gb2312" w:hAnsi="仿宋_gb2312" w:eastAsia="仿宋_gb2312" w:cs="Cordia New"/>
                <w:color w:val="auto"/>
                <w:spacing w:val="2"/>
                <w:sz w:val="28"/>
                <w:szCs w:val="28"/>
              </w:rPr>
              <w:t>学年</w:t>
            </w:r>
            <w:r>
              <w:rPr>
                <w:rFonts w:hint="eastAsia" w:ascii="仿宋_gb2312" w:hAnsi="仿宋_gb2312" w:eastAsia="仿宋_gb2312" w:cs="Cordia New"/>
                <w:color w:val="auto"/>
                <w:spacing w:val="2"/>
                <w:sz w:val="28"/>
                <w:szCs w:val="28"/>
                <w:lang w:eastAsia="zh-Hans"/>
              </w:rPr>
              <w:t>第</w:t>
            </w:r>
            <w:r>
              <w:rPr>
                <w:rFonts w:ascii="仿宋_gb2312" w:hAnsi="仿宋_gb2312" w:eastAsia="仿宋_gb2312" w:cs="Cordia New"/>
                <w:color w:val="auto"/>
                <w:spacing w:val="2"/>
                <w:sz w:val="28"/>
                <w:szCs w:val="28"/>
                <w:u w:val="single"/>
                <w:lang w:eastAsia="zh-Hans"/>
              </w:rPr>
              <w:t xml:space="preserve">       </w:t>
            </w:r>
            <w:r>
              <w:rPr>
                <w:rFonts w:hint="eastAsia" w:ascii="仿宋_gb2312" w:hAnsi="仿宋_gb2312" w:eastAsia="仿宋_gb2312" w:cs="Cordia New"/>
                <w:color w:val="auto"/>
                <w:spacing w:val="2"/>
                <w:sz w:val="28"/>
                <w:szCs w:val="28"/>
              </w:rPr>
              <w:t>学</w:t>
            </w:r>
            <w:r>
              <w:rPr>
                <w:rFonts w:hint="eastAsia" w:ascii="仿宋_gb2312" w:hAnsi="仿宋_gb2312" w:eastAsia="仿宋_gb2312" w:cs="Cordia New"/>
                <w:color w:val="auto"/>
                <w:sz w:val="28"/>
                <w:szCs w:val="28"/>
              </w:rPr>
              <w:t>期</w:t>
            </w:r>
          </w:p>
        </w:tc>
      </w:tr>
      <w:tr>
        <w:trPr>
          <w:trHeight w:val="662" w:hRule="exact"/>
          <w:jc w:val="center"/>
        </w:trPr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insoku w:val="0"/>
              <w:overflowPunct w:val="0"/>
              <w:spacing w:before="11"/>
              <w:jc w:val="center"/>
              <w:rPr>
                <w:rFonts w:ascii="Calibri" w:hAnsi="Calibri" w:eastAsia="宋体" w:cs="Cordia New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Cordia New"/>
                <w:color w:val="auto"/>
                <w:spacing w:val="2"/>
                <w:sz w:val="28"/>
                <w:szCs w:val="28"/>
              </w:rPr>
              <w:t>学</w:t>
            </w:r>
            <w:r>
              <w:rPr>
                <w:rFonts w:hint="eastAsia" w:ascii="仿宋_gb2312" w:hAnsi="仿宋_gb2312" w:eastAsia="仿宋_gb2312" w:cs="Cordia New"/>
                <w:color w:val="auto"/>
                <w:sz w:val="28"/>
                <w:szCs w:val="28"/>
              </w:rPr>
              <w:t>号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insoku w:val="0"/>
              <w:overflowPunct w:val="0"/>
              <w:spacing w:before="11"/>
              <w:jc w:val="center"/>
              <w:rPr>
                <w:rFonts w:ascii="Calibri" w:hAnsi="Calibri" w:eastAsia="宋体" w:cs="Cordia New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Cordia New"/>
                <w:color w:val="auto"/>
                <w:spacing w:val="2"/>
                <w:sz w:val="28"/>
                <w:szCs w:val="28"/>
              </w:rPr>
              <w:t>姓</w:t>
            </w:r>
            <w:r>
              <w:rPr>
                <w:rFonts w:hint="eastAsia" w:ascii="仿宋_gb2312" w:hAnsi="仿宋_gb2312" w:eastAsia="仿宋_gb2312" w:cs="Cordia New"/>
                <w:color w:val="auto"/>
                <w:sz w:val="28"/>
                <w:szCs w:val="28"/>
              </w:rPr>
              <w:t>名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insoku w:val="0"/>
              <w:overflowPunct w:val="0"/>
              <w:spacing w:before="11"/>
              <w:jc w:val="center"/>
              <w:rPr>
                <w:rFonts w:ascii="Calibri" w:hAnsi="Calibri" w:eastAsia="宋体" w:cs="Cordia New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Cordia New"/>
                <w:color w:val="auto"/>
                <w:spacing w:val="2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Cordia New"/>
                <w:color w:val="auto"/>
                <w:sz w:val="28"/>
                <w:szCs w:val="28"/>
              </w:rPr>
              <w:t>级</w:t>
            </w:r>
          </w:p>
        </w:tc>
        <w:tc>
          <w:tcPr>
            <w:tcW w:w="2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insoku w:val="0"/>
              <w:overflowPunct w:val="0"/>
              <w:spacing w:before="11"/>
              <w:jc w:val="center"/>
              <w:rPr>
                <w:rFonts w:ascii="Calibri" w:hAnsi="Calibri" w:eastAsia="宋体" w:cs="Cordia New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Cordia New"/>
                <w:color w:val="auto"/>
                <w:spacing w:val="2"/>
                <w:sz w:val="28"/>
                <w:szCs w:val="28"/>
              </w:rPr>
              <w:t>专业班级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insoku w:val="0"/>
              <w:overflowPunct w:val="0"/>
              <w:spacing w:before="11"/>
              <w:jc w:val="center"/>
              <w:rPr>
                <w:rFonts w:ascii="Calibri" w:hAnsi="Calibri" w:eastAsia="宋体" w:cs="Cordia New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Cordia New"/>
                <w:color w:val="auto"/>
                <w:spacing w:val="2"/>
                <w:sz w:val="28"/>
                <w:szCs w:val="28"/>
              </w:rPr>
              <w:t>预警原</w:t>
            </w:r>
            <w:r>
              <w:rPr>
                <w:rFonts w:hint="eastAsia" w:ascii="仿宋_gb2312" w:hAnsi="仿宋_gb2312" w:eastAsia="仿宋_gb2312" w:cs="Cordia New"/>
                <w:color w:val="auto"/>
                <w:sz w:val="28"/>
                <w:szCs w:val="28"/>
              </w:rPr>
              <w:t>因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insoku w:val="0"/>
              <w:overflowPunct w:val="0"/>
              <w:spacing w:before="11"/>
              <w:jc w:val="center"/>
              <w:rPr>
                <w:rFonts w:ascii="Calibri" w:hAnsi="Calibri" w:eastAsia="宋体" w:cs="Cordia New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Cordia New"/>
                <w:color w:val="auto"/>
                <w:spacing w:val="2"/>
                <w:sz w:val="28"/>
                <w:szCs w:val="28"/>
              </w:rPr>
              <w:t>累计预警次</w:t>
            </w:r>
            <w:r>
              <w:rPr>
                <w:rFonts w:hint="eastAsia" w:ascii="仿宋_gb2312" w:hAnsi="仿宋_gb2312" w:eastAsia="仿宋_gb2312" w:cs="Cordia New"/>
                <w:color w:val="auto"/>
                <w:sz w:val="28"/>
                <w:szCs w:val="28"/>
              </w:rPr>
              <w:t>数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insoku w:val="0"/>
              <w:overflowPunct w:val="0"/>
              <w:spacing w:before="11"/>
              <w:jc w:val="center"/>
              <w:rPr>
                <w:rFonts w:ascii="Calibri" w:hAnsi="Calibri" w:eastAsia="宋体" w:cs="Cordia New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Cordia New"/>
                <w:color w:val="auto"/>
                <w:spacing w:val="2"/>
                <w:sz w:val="28"/>
                <w:szCs w:val="28"/>
              </w:rPr>
              <w:t>处理意</w:t>
            </w:r>
            <w:r>
              <w:rPr>
                <w:rFonts w:hint="eastAsia" w:ascii="仿宋_gb2312" w:hAnsi="仿宋_gb2312" w:eastAsia="仿宋_gb2312" w:cs="Cordia New"/>
                <w:color w:val="auto"/>
                <w:sz w:val="28"/>
                <w:szCs w:val="28"/>
              </w:rPr>
              <w:t>见</w:t>
            </w:r>
          </w:p>
        </w:tc>
      </w:tr>
      <w:tr>
        <w:trPr>
          <w:trHeight w:val="665" w:hRule="exact"/>
          <w:jc w:val="center"/>
        </w:trPr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2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</w:tr>
      <w:tr>
        <w:trPr>
          <w:trHeight w:val="665" w:hRule="exact"/>
          <w:jc w:val="center"/>
        </w:trPr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2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</w:tr>
      <w:tr>
        <w:trPr>
          <w:trHeight w:val="662" w:hRule="exact"/>
          <w:jc w:val="center"/>
        </w:trPr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2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</w:tr>
      <w:tr>
        <w:trPr>
          <w:trHeight w:val="665" w:hRule="exact"/>
          <w:jc w:val="center"/>
        </w:trPr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2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</w:tr>
      <w:tr>
        <w:trPr>
          <w:trHeight w:val="665" w:hRule="exact"/>
          <w:jc w:val="center"/>
        </w:trPr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2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</w:tr>
      <w:tr>
        <w:trPr>
          <w:trHeight w:val="665" w:hRule="exact"/>
          <w:jc w:val="center"/>
        </w:trPr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2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</w:tr>
    </w:tbl>
    <w:p>
      <w:pPr>
        <w:tabs>
          <w:tab w:val="left" w:pos="11831"/>
          <w:tab w:val="left" w:pos="12793"/>
          <w:tab w:val="left" w:pos="13758"/>
        </w:tabs>
        <w:kinsoku w:val="0"/>
        <w:overflowPunct w:val="0"/>
        <w:spacing w:after="120" w:line="419" w:lineRule="exact"/>
        <w:ind w:left="119"/>
        <w:jc w:val="center"/>
        <w:rPr>
          <w:rFonts w:ascii="Calibri" w:hAnsi="Calibri" w:eastAsia="宋体" w:cs="Cordia New"/>
          <w:color w:val="auto"/>
          <w:sz w:val="28"/>
          <w:szCs w:val="28"/>
        </w:rPr>
      </w:pPr>
      <w:r>
        <w:rPr>
          <w:rFonts w:hint="eastAsia" w:ascii="Calibri" w:hAnsi="Calibri" w:eastAsia="宋体" w:cs="Cordia New"/>
          <w:color w:val="auto"/>
          <w:spacing w:val="2"/>
          <w:sz w:val="28"/>
          <w:szCs w:val="28"/>
        </w:rPr>
        <w:t>填表人</w:t>
      </w:r>
      <w:r>
        <w:rPr>
          <w:rFonts w:hint="eastAsia" w:ascii="Calibri" w:hAnsi="Calibri" w:eastAsia="宋体" w:cs="Cordia New"/>
          <w:color w:val="auto"/>
          <w:sz w:val="28"/>
          <w:szCs w:val="28"/>
        </w:rPr>
        <w:t>：                                               年     月    日</w:t>
      </w:r>
    </w:p>
    <w:p>
      <w:pPr>
        <w:rPr>
          <w:rFonts w:ascii="方正仿宋_GBK" w:cs="Cordia New"/>
          <w:color w:val="auto"/>
        </w:rPr>
        <w:sectPr>
          <w:pgSz w:w="16838" w:h="11906" w:orient="landscape"/>
          <w:pgMar w:top="1797" w:right="1440" w:bottom="1797" w:left="1440" w:header="851" w:footer="992" w:gutter="0"/>
          <w:cols w:space="720" w:num="1"/>
          <w:titlePg/>
          <w:docGrid w:type="linesAndChars" w:linePitch="312" w:charSpace="0"/>
        </w:sectPr>
      </w:pPr>
    </w:p>
    <w:p>
      <w:pPr>
        <w:spacing w:after="156" w:afterLines="50"/>
        <w:rPr>
          <w:rFonts w:hint="eastAsia" w:ascii="方正黑体_GBK" w:hAnsi="方正黑体_GBK" w:eastAsia="方正黑体_GBK" w:cs="方正黑体_GBK"/>
          <w:bCs/>
          <w:color w:val="auto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Cs/>
          <w:color w:val="auto"/>
          <w:sz w:val="32"/>
          <w:szCs w:val="32"/>
        </w:rPr>
        <w:t>附件3</w:t>
      </w:r>
    </w:p>
    <w:p>
      <w:pPr>
        <w:spacing w:after="156" w:afterLines="50"/>
        <w:jc w:val="center"/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</w:rPr>
      </w:pPr>
      <w:r>
        <w:rPr>
          <w:rFonts w:ascii="方正小标宋_GBK" w:hAnsi="方正小标宋_GBK" w:eastAsia="方正小标宋_GBK" w:cs="方正小标宋_GBK"/>
          <w:color w:val="auto"/>
          <w:spacing w:val="2"/>
          <w:sz w:val="36"/>
          <w:szCs w:val="36"/>
        </w:rPr>
        <w:t>福州英华职业学院</w:t>
      </w: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</w:rPr>
        <w:t>学生</w:t>
      </w:r>
      <w:r>
        <w:rPr>
          <w:rFonts w:hint="eastAsia" w:ascii="方正小标宋_GBK" w:hAnsi="方正小标宋_GBK" w:eastAsia="方正小标宋_GBK" w:cs="方正小标宋_GBK"/>
          <w:color w:val="auto"/>
          <w:spacing w:val="2"/>
          <w:sz w:val="36"/>
          <w:szCs w:val="36"/>
        </w:rPr>
        <w:t>学</w:t>
      </w: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</w:rPr>
        <w:t>业预</w:t>
      </w:r>
      <w:r>
        <w:rPr>
          <w:rFonts w:hint="eastAsia" w:ascii="方正小标宋_GBK" w:hAnsi="方正小标宋_GBK" w:eastAsia="方正小标宋_GBK" w:cs="方正小标宋_GBK"/>
          <w:color w:val="auto"/>
          <w:spacing w:val="2"/>
          <w:sz w:val="36"/>
          <w:szCs w:val="36"/>
        </w:rPr>
        <w:t>警</w:t>
      </w: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</w:rPr>
        <w:t>帮</w:t>
      </w:r>
      <w:r>
        <w:rPr>
          <w:rFonts w:hint="eastAsia" w:ascii="方正小标宋_GBK" w:hAnsi="方正小标宋_GBK" w:eastAsia="方正小标宋_GBK" w:cs="方正小标宋_GBK"/>
          <w:color w:val="auto"/>
          <w:spacing w:val="2"/>
          <w:sz w:val="36"/>
          <w:szCs w:val="36"/>
        </w:rPr>
        <w:t>扶</w:t>
      </w: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</w:rPr>
        <w:t>谈话</w:t>
      </w:r>
      <w:r>
        <w:rPr>
          <w:rFonts w:hint="eastAsia" w:ascii="方正小标宋_GBK" w:hAnsi="方正小标宋_GBK" w:eastAsia="方正小标宋_GBK" w:cs="方正小标宋_GBK"/>
          <w:color w:val="auto"/>
          <w:spacing w:val="2"/>
          <w:sz w:val="36"/>
          <w:szCs w:val="36"/>
        </w:rPr>
        <w:t>记</w:t>
      </w: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</w:rPr>
        <w:t>录表</w:t>
      </w:r>
    </w:p>
    <w:p>
      <w:pPr>
        <w:rPr>
          <w:rFonts w:hint="eastAsia" w:ascii="宋体" w:hAnsi="宋体" w:eastAsia="宋体" w:cs="宋体"/>
          <w:color w:val="auto"/>
          <w:szCs w:val="21"/>
        </w:rPr>
      </w:pPr>
      <w:r>
        <w:rPr>
          <w:rFonts w:hint="eastAsia" w:ascii="宋体" w:hAnsi="宋体" w:eastAsia="宋体" w:cs="宋体"/>
          <w:color w:val="auto"/>
          <w:szCs w:val="21"/>
          <w:lang w:eastAsia="zh-Hans"/>
        </w:rPr>
        <w:t>系</w:t>
      </w:r>
      <w:r>
        <w:rPr>
          <w:rFonts w:hint="eastAsia" w:ascii="宋体" w:hAnsi="宋体" w:eastAsia="宋体" w:cs="宋体"/>
          <w:color w:val="auto"/>
          <w:szCs w:val="21"/>
        </w:rPr>
        <w:t>（公章）：</w:t>
      </w:r>
    </w:p>
    <w:tbl>
      <w:tblPr>
        <w:tblStyle w:val="3"/>
        <w:tblW w:w="9804" w:type="dxa"/>
        <w:tblInd w:w="-6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0"/>
        <w:gridCol w:w="2185"/>
        <w:gridCol w:w="800"/>
        <w:gridCol w:w="1184"/>
        <w:gridCol w:w="781"/>
        <w:gridCol w:w="2634"/>
      </w:tblGrid>
      <w:tr>
        <w:trPr>
          <w:trHeight w:val="761" w:hRule="atLeast"/>
        </w:trPr>
        <w:tc>
          <w:tcPr>
            <w:tcW w:w="22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谈话对象</w:t>
            </w:r>
          </w:p>
        </w:tc>
        <w:tc>
          <w:tcPr>
            <w:tcW w:w="21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谈话开始时间</w:t>
            </w:r>
          </w:p>
        </w:tc>
        <w:tc>
          <w:tcPr>
            <w:tcW w:w="3415" w:type="dxa"/>
            <w:gridSpan w:val="2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年    月    日    时 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9" w:hRule="atLeast"/>
        </w:trPr>
        <w:tc>
          <w:tcPr>
            <w:tcW w:w="22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学号</w:t>
            </w:r>
          </w:p>
        </w:tc>
        <w:tc>
          <w:tcPr>
            <w:tcW w:w="21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年级专业班级</w:t>
            </w:r>
          </w:p>
        </w:tc>
        <w:tc>
          <w:tcPr>
            <w:tcW w:w="3415" w:type="dxa"/>
            <w:gridSpan w:val="2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44" w:hRule="atLeast"/>
        </w:trPr>
        <w:tc>
          <w:tcPr>
            <w:tcW w:w="22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谈话地点</w:t>
            </w:r>
          </w:p>
        </w:tc>
        <w:tc>
          <w:tcPr>
            <w:tcW w:w="21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谈话结束时间</w:t>
            </w:r>
          </w:p>
        </w:tc>
        <w:tc>
          <w:tcPr>
            <w:tcW w:w="3415" w:type="dxa"/>
            <w:gridSpan w:val="2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年    月    日   时    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42" w:hRule="atLeast"/>
        </w:trPr>
        <w:tc>
          <w:tcPr>
            <w:tcW w:w="2220" w:type="dxa"/>
            <w:vMerge w:val="restart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谈话内容</w:t>
            </w:r>
          </w:p>
        </w:tc>
        <w:tc>
          <w:tcPr>
            <w:tcW w:w="7584" w:type="dxa"/>
            <w:gridSpan w:val="5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1.向该生详细解读《</w:t>
            </w:r>
            <w:r>
              <w:rPr>
                <w:rFonts w:ascii="宋体" w:hAnsi="宋体" w:eastAsia="宋体" w:cs="宋体"/>
                <w:color w:val="auto"/>
                <w:szCs w:val="21"/>
              </w:rPr>
              <w:t>福州英华职业学院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学生学籍管理规定》及《</w:t>
            </w:r>
            <w:r>
              <w:rPr>
                <w:rFonts w:ascii="宋体" w:hAnsi="宋体" w:eastAsia="宋体" w:cs="宋体"/>
                <w:color w:val="auto"/>
                <w:szCs w:val="21"/>
              </w:rPr>
              <w:t>福州英华职业学院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学生学业预警及帮扶机制实施办法》。2.共同分析导致预警的原因。3.课程重修学习计划。4.为该生今后学习、生活提供的意见和建议。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08" w:hRule="atLeast"/>
        </w:trPr>
        <w:tc>
          <w:tcPr>
            <w:tcW w:w="2220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7584" w:type="dxa"/>
            <w:gridSpan w:val="5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87" w:hRule="atLeast"/>
        </w:trPr>
        <w:tc>
          <w:tcPr>
            <w:tcW w:w="22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教师签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Hans"/>
              </w:rPr>
              <w:t>字</w:t>
            </w:r>
          </w:p>
        </w:tc>
        <w:tc>
          <w:tcPr>
            <w:tcW w:w="298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196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学生签字</w:t>
            </w:r>
          </w:p>
        </w:tc>
        <w:tc>
          <w:tcPr>
            <w:tcW w:w="263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</w:tr>
    </w:tbl>
    <w:p>
      <w:pPr>
        <w:spacing w:line="570" w:lineRule="exact"/>
        <w:rPr>
          <w:rFonts w:ascii="方正仿宋_GBK" w:hAnsi="Calibri" w:eastAsia="方正仿宋_GBK" w:cs="Cordia New"/>
          <w:color w:val="auto"/>
          <w:sz w:val="32"/>
          <w:szCs w:val="22"/>
        </w:rPr>
      </w:pPr>
      <w:r>
        <w:rPr>
          <w:rFonts w:hint="eastAsia" w:ascii="宋体" w:hAnsi="宋体" w:eastAsia="宋体" w:cs="宋体"/>
          <w:color w:val="auto"/>
          <w:szCs w:val="21"/>
        </w:rPr>
        <w:t>注：谈话内容提纲仅供参考</w:t>
      </w:r>
    </w:p>
    <w:p>
      <w:pPr>
        <w:jc w:val="center"/>
        <w:rPr>
          <w:color w:val="auto"/>
          <w:sz w:val="28"/>
          <w:szCs w:val="28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方正黑体_GBK">
    <w:altName w:val="汉仪中黑KW"/>
    <w:panose1 w:val="00000000000000000000"/>
    <w:charset w:val="00"/>
    <w:family w:val="script"/>
    <w:pitch w:val="default"/>
    <w:sig w:usb0="00000000" w:usb1="0000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Cordia New">
    <w:altName w:val="Microsoft Sans Serif"/>
    <w:panose1 w:val="020B0304020202020204"/>
    <w:charset w:val="DE"/>
    <w:family w:val="swiss"/>
    <w:pitch w:val="default"/>
    <w:sig w:usb0="00000000" w:usb1="00000000" w:usb2="00000000" w:usb3="00000000" w:csb0="00010001" w:csb1="00000000"/>
  </w:font>
  <w:font w:name="Microsoft Sans Serif"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汉仪书宋二KW"/>
    <w:panose1 w:val="00000000000000000000"/>
    <w:charset w:val="00"/>
    <w:family w:val="script"/>
    <w:pitch w:val="default"/>
    <w:sig w:usb0="00000000" w:usb1="00000000" w:usb2="00000000" w:usb3="00000000" w:csb0="00040000" w:csb1="00000000"/>
  </w:font>
  <w:font w:name="仿宋_gb2312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240" w:lineRule="auto"/>
      <w:ind w:firstLine="0" w:firstLineChars="0"/>
      <w:jc w:val="center"/>
    </w:pP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PAGE   \* MERGEFORMAT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  <w:lang w:val="zh-CN"/>
      </w:rPr>
      <w:t>12</w:t>
    </w:r>
    <w:r>
      <w:rPr>
        <w:rFonts w:ascii="宋体" w:hAnsi="宋体" w:eastAsia="宋体"/>
        <w:sz w:val="21"/>
        <w:szCs w:val="21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240" w:lineRule="auto"/>
      <w:ind w:firstLine="0" w:firstLineChars="0"/>
      <w:jc w:val="center"/>
    </w:pP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PAGE   \* MERGEFORMAT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  <w:lang w:val="zh-CN"/>
      </w:rPr>
      <w:t>1</w:t>
    </w:r>
    <w:r>
      <w:rPr>
        <w:rFonts w:ascii="宋体" w:hAnsi="宋体" w:eastAsia="宋体"/>
        <w:sz w:val="21"/>
        <w:szCs w:val="21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570" w:lineRule="exact"/>
      <w:ind w:left="640"/>
      <w:rPr>
        <w:rFonts w:ascii="Calibri" w:hAnsi="Calibri" w:eastAsia="方正仿宋_GBK" w:cs="Times New Roman"/>
        <w:sz w:val="32"/>
        <w:szCs w:val="2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570" w:lineRule="exact"/>
      <w:ind w:left="640"/>
      <w:rPr>
        <w:rFonts w:ascii="Calibri" w:hAnsi="Calibri" w:eastAsia="方正仿宋_GBK" w:cs="Times New Roman"/>
        <w:sz w:val="3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7B71D9A"/>
    <w:rsid w:val="000024BF"/>
    <w:rsid w:val="00150E9B"/>
    <w:rsid w:val="00E5699A"/>
    <w:rsid w:val="00F74ADC"/>
    <w:rsid w:val="157B22A3"/>
    <w:rsid w:val="37FDD210"/>
    <w:rsid w:val="38EF3F04"/>
    <w:rsid w:val="3B7E6D13"/>
    <w:rsid w:val="3DAF4F12"/>
    <w:rsid w:val="3F5FB3D4"/>
    <w:rsid w:val="3FFC5B87"/>
    <w:rsid w:val="3FFEB160"/>
    <w:rsid w:val="4FFF8BC9"/>
    <w:rsid w:val="75F7EF4E"/>
    <w:rsid w:val="77FB353C"/>
    <w:rsid w:val="7ED779A1"/>
    <w:rsid w:val="7F64CFA0"/>
    <w:rsid w:val="7FFF7D24"/>
    <w:rsid w:val="977F1536"/>
    <w:rsid w:val="B7B71D9A"/>
    <w:rsid w:val="BDF8FC01"/>
    <w:rsid w:val="CB8B523F"/>
    <w:rsid w:val="E7BA8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spacing w:line="570" w:lineRule="exact"/>
      <w:ind w:firstLine="200" w:firstLineChars="200"/>
    </w:pPr>
    <w:rPr>
      <w:rFonts w:ascii="Calibri" w:hAnsi="Calibri" w:eastAsia="方正仿宋_GBK" w:cs="Times New Roman"/>
      <w:kern w:val="2"/>
      <w:sz w:val="18"/>
      <w:szCs w:val="18"/>
      <w:lang w:val="en-US" w:eastAsia="zh-CN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396</Words>
  <Characters>2261</Characters>
  <Lines>18</Lines>
  <Paragraphs>5</Paragraphs>
  <TotalTime>57</TotalTime>
  <ScaleCrop>false</ScaleCrop>
  <LinksUpToDate>false</LinksUpToDate>
  <CharactersWithSpaces>2652</CharactersWithSpaces>
  <Application>WPS Office_5.1.1.7676_F1E327BC-269C-435d-A152-05C5408002CA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2024-07-12T01:51:00Z</dcterms:created>
  <dc:creator>czm</dc:creator>
  <cp:lastModifiedBy>czm</cp:lastModifiedBy>
  <dcterms:modified xsi:type="dcterms:W3CDTF">2024-07-29T08:24:57Z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2052-5.1.1.7676</vt:lpwstr>
  </property>
  <property fmtid="{D5CDD505-2E9C-101B-9397-08002B2CF9AE}" pid="3" name="ICV">
    <vt:lpwstr>95D23D911E58F170A5978C66D17F284A</vt:lpwstr>
  </property>
</Properties>
</file>