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ABC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AF90D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3ED89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E939F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25612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77425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BA5AF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榕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英华综</w:t>
      </w:r>
      <w:r>
        <w:rPr>
          <w:rFonts w:hint="eastAsia" w:ascii="仿宋_GB2312" w:hAnsi="方正小标宋简体" w:eastAsia="仿宋_GB2312"/>
          <w:sz w:val="32"/>
          <w:szCs w:val="32"/>
        </w:rPr>
        <w:t>〔20</w:t>
      </w: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/>
          <w:sz w:val="32"/>
          <w:szCs w:val="32"/>
        </w:rPr>
        <w:t>〕</w:t>
      </w: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 xml:space="preserve"> 56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1B4D74B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/>
        <w:jc w:val="both"/>
        <w:textAlignment w:val="auto"/>
        <w:rPr>
          <w:rStyle w:val="11"/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44"/>
          <w:szCs w:val="44"/>
          <w:lang w:val="en-US" w:eastAsia="zh-CN"/>
        </w:rPr>
      </w:pPr>
    </w:p>
    <w:p w14:paraId="13AD57D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center"/>
        <w:textAlignment w:val="auto"/>
        <w:rPr>
          <w:rFonts w:hint="eastAsia" w:ascii="宋体" w:hAnsi="宋体" w:eastAsia="宋体" w:cs="宋体"/>
          <w:b/>
          <w:bCs w:val="0"/>
          <w:w w:val="9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关于印发《</w:t>
      </w:r>
      <w:r>
        <w:rPr>
          <w:rFonts w:hint="eastAsia" w:ascii="宋体" w:hAnsi="宋体" w:eastAsia="宋体" w:cs="宋体"/>
          <w:b/>
          <w:bCs w:val="0"/>
          <w:w w:val="90"/>
          <w:kern w:val="2"/>
          <w:sz w:val="44"/>
          <w:szCs w:val="44"/>
          <w:lang w:val="en-US" w:eastAsia="zh-CN" w:bidi="ar-SA"/>
        </w:rPr>
        <w:t>福州英华职业学院</w:t>
      </w:r>
    </w:p>
    <w:p w14:paraId="7298F99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w w:val="90"/>
          <w:kern w:val="2"/>
          <w:sz w:val="44"/>
          <w:szCs w:val="44"/>
          <w:lang w:val="en-US" w:eastAsia="zh-CN" w:bidi="ar-SA"/>
        </w:rPr>
        <w:t>门卫保安管理规定</w:t>
      </w:r>
      <w:r>
        <w:rPr>
          <w:rFonts w:hint="eastAsia" w:ascii="宋体" w:hAnsi="宋体" w:eastAsia="宋体" w:cs="宋体"/>
          <w:b/>
          <w:bCs w:val="0"/>
          <w:w w:val="90"/>
          <w:kern w:val="2"/>
          <w:sz w:val="44"/>
          <w:szCs w:val="44"/>
          <w:lang w:val="en-US" w:eastAsia="zh-CN" w:bidi="ar-SA"/>
        </w:rPr>
        <w:t>（修订）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》的通知</w:t>
      </w:r>
    </w:p>
    <w:p w14:paraId="429355C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/>
        <w:jc w:val="both"/>
        <w:textAlignment w:val="auto"/>
        <w:rPr>
          <w:rStyle w:val="11"/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44"/>
          <w:szCs w:val="44"/>
          <w:lang w:val="en-US" w:eastAsia="zh-CN"/>
        </w:rPr>
      </w:pPr>
    </w:p>
    <w:p w14:paraId="110D5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各部处室、系（院、部）、馆:</w:t>
      </w:r>
    </w:p>
    <w:p w14:paraId="1F02558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《福州英华职业学院</w:t>
      </w:r>
      <w:r>
        <w:rPr>
          <w:rFonts w:hint="eastAsia" w:ascii="仿宋" w:hAnsi="仿宋" w:eastAsia="仿宋" w:cs="仿宋"/>
          <w:b w:val="0"/>
          <w:bCs w:val="0"/>
          <w:color w:val="auto"/>
          <w:w w:val="90"/>
          <w:kern w:val="2"/>
          <w:sz w:val="32"/>
          <w:szCs w:val="32"/>
          <w:lang w:val="en-US" w:eastAsia="zh-CN" w:bidi="ar-SA"/>
        </w:rPr>
        <w:t>门卫保安管理规定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（修订）》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，已经院务会审议通过，现印发给你们，请组织传达学习并遵照执行。</w:t>
      </w:r>
    </w:p>
    <w:p w14:paraId="2FFA0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719D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8236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附件：1.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福州英华职业学院</w:t>
      </w:r>
      <w:r>
        <w:rPr>
          <w:rFonts w:hint="eastAsia" w:ascii="仿宋" w:hAnsi="仿宋" w:eastAsia="仿宋" w:cs="仿宋"/>
          <w:b w:val="0"/>
          <w:bCs w:val="0"/>
          <w:color w:val="auto"/>
          <w:w w:val="90"/>
          <w:kern w:val="2"/>
          <w:sz w:val="32"/>
          <w:szCs w:val="32"/>
          <w:lang w:val="en-US" w:eastAsia="zh-CN" w:bidi="ar-SA"/>
        </w:rPr>
        <w:t>门卫保安管理规定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（修订）</w:t>
      </w:r>
    </w:p>
    <w:p w14:paraId="70502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福州英华职业学院</w:t>
      </w:r>
      <w:r>
        <w:rPr>
          <w:rFonts w:hint="eastAsia" w:ascii="仿宋" w:hAnsi="仿宋" w:eastAsia="仿宋" w:cs="仿宋"/>
          <w:b w:val="0"/>
          <w:bCs w:val="0"/>
          <w:color w:val="auto"/>
          <w:w w:val="90"/>
          <w:kern w:val="2"/>
          <w:sz w:val="32"/>
          <w:szCs w:val="32"/>
          <w:lang w:val="en-US" w:eastAsia="zh-CN" w:bidi="ar-SA"/>
        </w:rPr>
        <w:t>校外人员入校审批表</w:t>
      </w:r>
    </w:p>
    <w:p w14:paraId="3970C30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1"/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44"/>
          <w:szCs w:val="44"/>
          <w:lang w:val="en-US" w:eastAsia="zh-CN"/>
        </w:rPr>
      </w:pPr>
    </w:p>
    <w:p w14:paraId="62A8C82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1"/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44"/>
          <w:szCs w:val="44"/>
          <w:lang w:val="en-US" w:eastAsia="zh-CN"/>
        </w:rPr>
      </w:pPr>
      <w:bookmarkStart w:id="0" w:name="_GoBack"/>
      <w:bookmarkEnd w:id="0"/>
    </w:p>
    <w:p w14:paraId="6C9C58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福州英华职业学院</w:t>
      </w:r>
    </w:p>
    <w:p w14:paraId="3BE1D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Style w:val="11"/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44"/>
          <w:szCs w:val="44"/>
          <w:lang w:val="en-US" w:eastAsia="zh-CN"/>
        </w:rPr>
        <w:sectPr>
          <w:pgSz w:w="11906" w:h="16838"/>
          <w:pgMar w:top="2098" w:right="1474" w:bottom="1984" w:left="1588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2024年12月13日</w:t>
      </w:r>
    </w:p>
    <w:p w14:paraId="7BA5938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w w:val="90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 w14:paraId="526D666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center"/>
        <w:textAlignment w:val="auto"/>
        <w:rPr>
          <w:rFonts w:hint="default" w:ascii="宋体" w:hAnsi="宋体" w:eastAsia="宋体" w:cs="宋体"/>
          <w:b/>
          <w:bCs w:val="0"/>
          <w:color w:val="auto"/>
          <w:w w:val="9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w w:val="90"/>
          <w:kern w:val="2"/>
          <w:sz w:val="44"/>
          <w:szCs w:val="44"/>
          <w:lang w:val="en-US" w:eastAsia="zh-CN" w:bidi="ar-SA"/>
        </w:rPr>
        <w:t>福州英华职业学院门卫保安管理规定</w:t>
      </w:r>
      <w:r>
        <w:rPr>
          <w:rFonts w:hint="eastAsia" w:cs="宋体"/>
          <w:b/>
          <w:bCs w:val="0"/>
          <w:color w:val="auto"/>
          <w:w w:val="90"/>
          <w:kern w:val="2"/>
          <w:sz w:val="44"/>
          <w:szCs w:val="44"/>
          <w:lang w:val="en-US" w:eastAsia="zh-CN" w:bidi="ar-SA"/>
        </w:rPr>
        <w:t>（修订）</w:t>
      </w:r>
    </w:p>
    <w:p w14:paraId="1D2B8B70">
      <w:pPr>
        <w:pStyle w:val="7"/>
        <w:spacing w:before="0" w:beforeAutospacing="0" w:after="0" w:afterAutospacing="0"/>
        <w:rPr>
          <w:rFonts w:hint="eastAsia"/>
          <w:b/>
          <w:bCs/>
          <w:color w:val="auto"/>
        </w:rPr>
      </w:pPr>
    </w:p>
    <w:p w14:paraId="66E89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为维护校园安全稳定，严格门卫管理，确保学院良好的教学秩序和校园安全，根据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有关法律法规和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相关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规定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结合学院实际，制定本规定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：</w:t>
      </w:r>
    </w:p>
    <w:p w14:paraId="6F69F7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第一条 学院大门（东门）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实行二十四小时值班、值守制度，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工作日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7：30-8：30，11：30-12：00，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：30-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：00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：00-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：00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门卫保安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外，主管和机动岗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须在门口站岗值守，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并确保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车辆道闸系统及人脸识别系统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正常使用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。</w:t>
      </w:r>
    </w:p>
    <w:p w14:paraId="4E4A32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第二条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门卫保安在值勤期间必须坚守岗位，认真履行职责。上岗应着统一的保安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制服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，携带必备防卫器具装备，文明执勤。严禁在工作时间从事与工作无关的事情。</w:t>
      </w:r>
    </w:p>
    <w:p w14:paraId="474E4F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第三条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严格门卫管理，门卫保安须时刻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保持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警惕，自觉履行岗位职责，严防社会闲杂人员和不法分子混入校园。学生进出校门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通过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人脸识别系统识别，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无法通过识别系统的，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必须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出示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学生证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学信网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学籍信息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有效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身份证明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接受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门卫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保安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教职工直接通过人脸识别进出校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。</w:t>
      </w:r>
    </w:p>
    <w:p w14:paraId="52330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条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外来人员入校，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实行预约审批制度，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门卫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保安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查看《校外人员入校审批表》，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认真核实对方身份、来访目的，确认无不良行为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，办理相关登记手续后方可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入校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。无预约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临时到访的学生家长由辅导员到门卫处办理登记手续后引导入校；对其他无预约临时到访的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应问明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来由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，同时电话报告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该部门负责人（或该人员）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由接访人员按流程办理《校外人员入校审批表》并送至门卫处核查后办理登记手续入校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未办理相关手续的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外来人员不得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入校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，对无理取闹、不听劝告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引导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的应及时报告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安全工作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对涉嫌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寻衅滋事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除报告安全工作处外还应立即联系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110指挥中心。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因学院工作人员弄虚作假协助外来人员入校，从事违反学院规定的事项，以及造成安全问题的，由弄虚作假者承担全部责任。</w:t>
      </w:r>
    </w:p>
    <w:p w14:paraId="11491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教职工车辆一律通过学院大门（东门）车辆道闸系统入校。外来车辆入校，严格按学院《校园交通安全管理办法》，在门卫保安检查完车辆、车上人员和车载物品等安全情况并做好登记后入校。北门开放时间为工作日的6：30-18：30，在此期间允许货车出入校及教职工车辆出校通行，严禁无关车辆进入校园。</w:t>
      </w:r>
    </w:p>
    <w:p w14:paraId="71DEF6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严格入校物品的检查，对所有进入学院的人员、车辆所携带的物品进行认真检查，严禁管制刀具、器械、有毒危险物品、违禁物品等进入校园。</w:t>
      </w:r>
    </w:p>
    <w:p w14:paraId="67380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条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做好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大门口交通秩序等管理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工作。门卫保安必须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始终保持院大门口有序畅通、石墩整齐规范放置。一旦发现大门口有人员聚集或车辆拥堵情况，应第一时间做好疏通、疏导工作。引导大门口外围车辆停放整齐有序，严禁车辆停放在大门口。</w:t>
      </w:r>
    </w:p>
    <w:p w14:paraId="59A0E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条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值班人员应做好值班记录、交接班记录以备案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查。交接岗时，交岗人需向接岗人交代清楚未（待）处理事宜，若交岗人因未交代清楚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事项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而引发的事故，由交岗人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承担全部责任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。</w:t>
      </w:r>
    </w:p>
    <w:p w14:paraId="5614E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条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物品出校须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出示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盖有相关部门公章和负责人签字的出门条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对于携大件物品或贵重物品出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的人员要核查登记。发现物证不符等可疑情况，保安人员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应核实情况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并及时向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安全工作处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报告。</w:t>
      </w:r>
    </w:p>
    <w:p w14:paraId="5B9869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八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条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落实防火、防盗、防爆炸、防破坏等防范措施，发现值勤区域内的隐患，立即报告并协助处置。</w:t>
      </w:r>
    </w:p>
    <w:p w14:paraId="2B80BE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条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保持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学院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大门内外、保安值班室的卫生整洁，严格实行“门前三包”。禁止商贩在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门口摆摊叫卖，保证学院大门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口干净、整洁、有序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。</w:t>
      </w:r>
    </w:p>
    <w:p w14:paraId="089028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条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服从学院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安全工作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处的管理，在不影响保安工作的情况下，完成临时交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办的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其他工作。</w:t>
      </w:r>
    </w:p>
    <w:p w14:paraId="6C0FB2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第十一条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加强对食堂、商业网点从业人员及外来务工人员的管理。所有从业人员进入校园必须凭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安全工作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处颁发的出入证通行，如没有携带相关证件，门卫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保安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有权不准其进入。外来务工人员必须持有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安全工作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处颁发的临时出入证方可进入学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。</w:t>
      </w:r>
    </w:p>
    <w:p w14:paraId="0E7464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第十二条 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校学生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每天21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：00以后一律不准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出校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（走读生凭出入证通行），如有特殊情况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须出示系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书面证明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或由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辅导员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带至门卫处办理登记后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方可离校。晚归学生（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指22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: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后入校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应办理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登记后通过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人脸识别系统识别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无法通过人脸识别的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出示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学生证或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学籍证明，经门卫保安查验后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。</w:t>
      </w:r>
    </w:p>
    <w:p w14:paraId="2E1682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第十三条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本规定由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安全工作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处负责解释。</w:t>
      </w:r>
    </w:p>
    <w:p w14:paraId="234C7A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第十四条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本规定自发布之日起执行，同时旧规定予以废止。</w:t>
      </w:r>
    </w:p>
    <w:p w14:paraId="47EEE7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</w:pPr>
    </w:p>
    <w:p w14:paraId="7CF325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9201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C91E7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C91E7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N2E2Zjc2NTc4MjMwZjY1YjU1NGY5NDBmM2E0NWQifQ=="/>
  </w:docVars>
  <w:rsids>
    <w:rsidRoot w:val="00000000"/>
    <w:rsid w:val="09BF2B7A"/>
    <w:rsid w:val="0C1E5646"/>
    <w:rsid w:val="0EB34B4F"/>
    <w:rsid w:val="13713E78"/>
    <w:rsid w:val="225E66B8"/>
    <w:rsid w:val="2AF00F6E"/>
    <w:rsid w:val="3375372D"/>
    <w:rsid w:val="39110E64"/>
    <w:rsid w:val="397E5026"/>
    <w:rsid w:val="3D525D1B"/>
    <w:rsid w:val="43843B3D"/>
    <w:rsid w:val="44E72F37"/>
    <w:rsid w:val="457D4604"/>
    <w:rsid w:val="48C02B98"/>
    <w:rsid w:val="4B1E3A4B"/>
    <w:rsid w:val="4B6A109D"/>
    <w:rsid w:val="4E29792A"/>
    <w:rsid w:val="4E7A2F43"/>
    <w:rsid w:val="50DD421F"/>
    <w:rsid w:val="5A2F4E13"/>
    <w:rsid w:val="5A9C1A6D"/>
    <w:rsid w:val="5B9D2EA5"/>
    <w:rsid w:val="5CF81A48"/>
    <w:rsid w:val="5D83481E"/>
    <w:rsid w:val="5F6F1993"/>
    <w:rsid w:val="602A760A"/>
    <w:rsid w:val="643E2A83"/>
    <w:rsid w:val="65C5532B"/>
    <w:rsid w:val="661766AB"/>
    <w:rsid w:val="70707B0A"/>
    <w:rsid w:val="70DB4BE4"/>
    <w:rsid w:val="75640D8D"/>
    <w:rsid w:val="781702AF"/>
    <w:rsid w:val="7B8946D9"/>
    <w:rsid w:val="7E8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Body Text Indent 2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Body Text First Indent"/>
    <w:basedOn w:val="3"/>
    <w:qFormat/>
    <w:uiPriority w:val="0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style141"/>
    <w:basedOn w:val="10"/>
    <w:qFormat/>
    <w:uiPriority w:val="0"/>
    <w:rPr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1757</Words>
  <Characters>1801</Characters>
  <Lines>0</Lines>
  <Paragraphs>0</Paragraphs>
  <TotalTime>2</TotalTime>
  <ScaleCrop>false</ScaleCrop>
  <LinksUpToDate>false</LinksUpToDate>
  <CharactersWithSpaces>1817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2024-10-25T00:52:00Z</dcterms:created>
  <dc:creator>pc</dc:creator>
  <cp:lastModifiedBy>军军</cp:lastModifiedBy>
  <cp:lastPrinted>2024-12-23T08:38:00Z</cp:lastPrinted>
  <dcterms:modified xsi:type="dcterms:W3CDTF">2024-12-24T02:02:27Z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3C42BC4693824CFCB636BD3E578E3F21_13</vt:lpwstr>
  </property>
</Properties>
</file>